
<file path=[Content_Types].xml><?xml version="1.0" encoding="utf-8"?>
<Types xmlns="http://schemas.openxmlformats.org/package/2006/content-types">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10.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3.xml" ContentType="application/vnd.openxmlformats-officedocument.wordprocessingml.head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jc w:val="center"/>
        <w:rPr>
          <w:rFonts w:ascii="Book Antiqua" w:hAnsi="Book Antiqua" w:cs="Book Antiqua"/>
          <w:b/>
          <w:i/>
          <w:sz w:val="38"/>
        </w:rPr>
      </w:pPr>
      <w:r>
        <w:rPr>
          <w:noProof/>
          <w:lang w:val="fr-BE" w:eastAsia="fr-BE"/>
        </w:rPr>
        <w:drawing>
          <wp:anchor distT="0" distB="0" distL="114300" distR="114300" simplePos="0" relativeHeight="251662336" behindDoc="1" locked="0" layoutInCell="1" allowOverlap="1">
            <wp:simplePos x="0" y="0"/>
            <wp:positionH relativeFrom="column">
              <wp:align>center</wp:align>
            </wp:positionH>
            <wp:positionV relativeFrom="paragraph">
              <wp:posOffset>68580</wp:posOffset>
            </wp:positionV>
            <wp:extent cx="1300480" cy="1467485"/>
            <wp:effectExtent l="19050" t="0" r="0" b="0"/>
            <wp:wrapTopAndBottom/>
            <wp:docPr id="2" name="Image 4"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Logo_FWB_Verti_Quadri"/>
                    <pic:cNvPicPr>
                      <a:picLocks noChangeAspect="1" noChangeArrowheads="1"/>
                    </pic:cNvPicPr>
                  </pic:nvPicPr>
                  <pic:blipFill>
                    <a:blip r:embed="rId8" cstate="print"/>
                    <a:srcRect/>
                    <a:stretch>
                      <a:fillRect/>
                    </a:stretch>
                  </pic:blipFill>
                  <pic:spPr bwMode="auto">
                    <a:xfrm>
                      <a:off x="0" y="0"/>
                      <a:ext cx="1300480" cy="1467485"/>
                    </a:xfrm>
                    <a:prstGeom prst="rect">
                      <a:avLst/>
                    </a:prstGeom>
                    <a:noFill/>
                  </pic:spPr>
                </pic:pic>
              </a:graphicData>
            </a:graphic>
          </wp:anchor>
        </w:drawing>
      </w:r>
    </w:p>
    <w:p>
      <w:pPr>
        <w:spacing w:before="1320" w:after="240"/>
        <w:jc w:val="center"/>
        <w:rPr>
          <w:rFonts w:ascii="Book Antiqua" w:hAnsi="Book Antiqua" w:cs="Book Antiqua"/>
          <w:b/>
          <w:i/>
          <w:sz w:val="38"/>
        </w:rPr>
      </w:pPr>
      <w:r>
        <w:rPr>
          <w:rFonts w:ascii="Book Antiqua" w:hAnsi="Book Antiqua" w:cs="Book Antiqua"/>
          <w:b/>
          <w:i/>
          <w:sz w:val="38"/>
        </w:rPr>
        <w:t xml:space="preserve">Ministère de </w:t>
      </w:r>
      <w:smartTag w:uri="urn:schemas-microsoft-com:office:smarttags" w:element="PersonName">
        <w:smartTagPr>
          <w:attr w:name="ProductID" w:val="la Fédération Wallonie-Bruxelles"/>
        </w:smartTagPr>
        <w:r>
          <w:rPr>
            <w:rFonts w:ascii="Book Antiqua" w:hAnsi="Book Antiqua" w:cs="Book Antiqua"/>
            <w:b/>
            <w:i/>
            <w:sz w:val="38"/>
          </w:rPr>
          <w:t>la Fédération Wallonie-Bruxelles</w:t>
        </w:r>
      </w:smartTag>
    </w:p>
    <w:p>
      <w:pPr>
        <w:spacing w:before="360" w:after="480"/>
        <w:jc w:val="center"/>
        <w:rPr>
          <w:rFonts w:ascii="Book Antiqua" w:hAnsi="Book Antiqua" w:cs="Book Antiqua"/>
          <w:b/>
          <w:i/>
          <w:sz w:val="28"/>
        </w:rPr>
      </w:pPr>
      <w:r>
        <w:rPr>
          <w:rFonts w:ascii="Book Antiqua" w:hAnsi="Book Antiqua" w:cs="Book Antiqua"/>
          <w:b/>
          <w:i/>
          <w:sz w:val="28"/>
        </w:rPr>
        <w:t xml:space="preserve">Administration générale de l'Enseignement </w:t>
      </w:r>
    </w:p>
    <w:p>
      <w:pPr>
        <w:spacing w:after="1800"/>
        <w:jc w:val="center"/>
        <w:rPr>
          <w:rFonts w:ascii="Book Antiqua" w:hAnsi="Book Antiqua" w:cs="Book Antiqua"/>
          <w:b/>
          <w:i/>
          <w:sz w:val="28"/>
        </w:rPr>
      </w:pPr>
      <w:r>
        <w:rPr>
          <w:rFonts w:ascii="Book Antiqua" w:hAnsi="Book Antiqua" w:cs="Book Antiqua"/>
          <w:b/>
          <w:i/>
          <w:sz w:val="28"/>
        </w:rPr>
        <w:t>Direction générale de l'Enseignement obligatoire</w:t>
      </w:r>
    </w:p>
    <w:tbl>
      <w:tblPr>
        <w:tblW w:w="0" w:type="auto"/>
        <w:tblInd w:w="-22" w:type="dxa"/>
        <w:tblLayout w:type="fixed"/>
        <w:tblCellMar>
          <w:left w:w="70" w:type="dxa"/>
          <w:right w:w="70" w:type="dxa"/>
        </w:tblCellMar>
        <w:tblLook w:val="0000" w:firstRow="0" w:lastRow="0" w:firstColumn="0" w:lastColumn="0" w:noHBand="0" w:noVBand="0"/>
      </w:tblPr>
      <w:tblGrid>
        <w:gridCol w:w="9256"/>
      </w:tblGrid>
      <w:tr>
        <w:tc>
          <w:tcPr>
            <w:tcW w:w="9256" w:type="dxa"/>
          </w:tcPr>
          <w:p>
            <w:pPr>
              <w:snapToGrid w:val="0"/>
              <w:jc w:val="center"/>
              <w:rPr>
                <w:rFonts w:ascii="Book Antiqua" w:hAnsi="Book Antiqua" w:cs="Book Antiqua"/>
                <w:b/>
                <w:spacing w:val="-2"/>
                <w:sz w:val="52"/>
              </w:rPr>
            </w:pPr>
            <w:r>
              <w:rPr>
                <w:rFonts w:ascii="Book Antiqua" w:hAnsi="Book Antiqua" w:cs="Book Antiqua"/>
                <w:b/>
                <w:spacing w:val="-2"/>
                <w:sz w:val="52"/>
              </w:rPr>
              <w:t>ENSEIGNEMENT SECONDAIRE EN ALTERNANCE</w:t>
            </w:r>
          </w:p>
        </w:tc>
      </w:tr>
    </w:tbl>
    <w:p>
      <w:pPr>
        <w:spacing w:before="1560" w:after="1920"/>
        <w:jc w:val="center"/>
        <w:rPr>
          <w:rFonts w:ascii="Book Antiqua" w:hAnsi="Book Antiqua" w:cs="Book Antiqua"/>
          <w:b/>
          <w:i/>
          <w:spacing w:val="-4"/>
          <w:sz w:val="40"/>
        </w:rPr>
      </w:pPr>
      <w:r>
        <w:rPr>
          <w:rFonts w:ascii="Book Antiqua" w:hAnsi="Book Antiqua" w:cs="Book Antiqua"/>
          <w:b/>
          <w:spacing w:val="-2"/>
          <w:sz w:val="44"/>
        </w:rPr>
        <w:t>DIRECTIVES POUR L'ANNEE SCOLAIRE</w:t>
      </w:r>
      <w:r>
        <w:rPr>
          <w:rFonts w:ascii="Book Antiqua" w:hAnsi="Book Antiqua" w:cs="Book Antiqua"/>
          <w:b/>
          <w:spacing w:val="-2"/>
          <w:sz w:val="44"/>
        </w:rPr>
        <w:br/>
        <w:t>2018-2019</w:t>
      </w:r>
    </w:p>
    <w:p>
      <w:pPr>
        <w:tabs>
          <w:tab w:val="center" w:pos="4513"/>
        </w:tabs>
        <w:ind w:right="-188"/>
        <w:jc w:val="center"/>
        <w:rPr>
          <w:rFonts w:ascii="Book Antiqua" w:hAnsi="Book Antiqua" w:cs="Book Antiqua"/>
          <w:b/>
          <w:i/>
          <w:spacing w:val="-4"/>
          <w:sz w:val="40"/>
        </w:rPr>
      </w:pPr>
      <w:r>
        <w:rPr>
          <w:rFonts w:ascii="Book Antiqua" w:hAnsi="Book Antiqua" w:cs="Book Antiqua"/>
          <w:b/>
          <w:i/>
          <w:spacing w:val="-4"/>
          <w:sz w:val="40"/>
        </w:rPr>
        <w:t>ORGANISATION, STRUCTURES, ENCADREMENT</w:t>
      </w:r>
    </w:p>
    <w:p>
      <w:pPr>
        <w:pageBreakBefore/>
        <w:jc w:val="center"/>
      </w:pPr>
    </w:p>
    <w:p>
      <w:pPr>
        <w:pStyle w:val="TM1"/>
        <w:tabs>
          <w:tab w:val="right" w:leader="underscore" w:pos="9487"/>
        </w:tabs>
        <w:ind w:left="1698"/>
        <w:sectPr>
          <w:pgSz w:w="11906" w:h="16838"/>
          <w:pgMar w:top="851" w:right="1134" w:bottom="851" w:left="1276" w:header="720" w:footer="720" w:gutter="0"/>
          <w:cols w:space="720"/>
          <w:docGrid w:linePitch="360"/>
        </w:sectPr>
      </w:pPr>
    </w:p>
    <w:tbl>
      <w:tblPr>
        <w:tblW w:w="0" w:type="auto"/>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27"/>
        <w:gridCol w:w="7409"/>
      </w:tblGrid>
      <w:tr>
        <w:trPr>
          <w:trHeight w:val="843"/>
        </w:trPr>
        <w:tc>
          <w:tcPr>
            <w:tcW w:w="2041" w:type="dxa"/>
            <w:vMerge w:val="restart"/>
            <w:tcBorders>
              <w:top w:val="single" w:sz="24" w:space="0" w:color="auto"/>
            </w:tcBorders>
          </w:tcPr>
          <w:p>
            <w:pPr>
              <w:jc w:val="center"/>
              <w:rPr>
                <w:rFonts w:ascii="Verdana" w:hAnsi="Verdana"/>
                <w:b/>
                <w:color w:val="FF0000"/>
                <w:sz w:val="16"/>
                <w:szCs w:val="16"/>
              </w:rPr>
            </w:pPr>
            <w:r>
              <w:rPr>
                <w:noProof/>
                <w:lang w:val="fr-BE" w:eastAsia="fr-BE"/>
              </w:rPr>
              <w:lastRenderedPageBreak/>
              <w:drawing>
                <wp:anchor distT="0" distB="0" distL="114300" distR="114300" simplePos="0" relativeHeight="251661312"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3" name="Image 3"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Logo_FWB_Verti_Quadri"/>
                          <pic:cNvPicPr>
                            <a:picLocks noChangeAspect="1" noChangeArrowheads="1"/>
                          </pic:cNvPicPr>
                        </pic:nvPicPr>
                        <pic:blipFill>
                          <a:blip r:embed="rId8" cstate="print"/>
                          <a:srcRect/>
                          <a:stretch>
                            <a:fillRect/>
                          </a:stretch>
                        </pic:blipFill>
                        <pic:spPr bwMode="auto">
                          <a:xfrm>
                            <a:off x="0" y="0"/>
                            <a:ext cx="849630" cy="958850"/>
                          </a:xfrm>
                          <a:prstGeom prst="rect">
                            <a:avLst/>
                          </a:prstGeom>
                          <a:noFill/>
                        </pic:spPr>
                      </pic:pic>
                    </a:graphicData>
                  </a:graphic>
                </wp:anchor>
              </w:drawing>
            </w:r>
          </w:p>
          <w:p>
            <w:pPr>
              <w:jc w:val="center"/>
              <w:rPr>
                <w:rFonts w:ascii="Verdana" w:hAnsi="Verdana"/>
                <w:b/>
                <w:color w:val="FF0000"/>
                <w:sz w:val="16"/>
                <w:szCs w:val="16"/>
              </w:rPr>
            </w:pPr>
          </w:p>
        </w:tc>
        <w:tc>
          <w:tcPr>
            <w:tcW w:w="7607" w:type="dxa"/>
            <w:tcBorders>
              <w:top w:val="single" w:sz="24" w:space="0" w:color="auto"/>
              <w:bottom w:val="single" w:sz="4" w:space="0" w:color="auto"/>
            </w:tcBorders>
            <w:vAlign w:val="center"/>
          </w:tcPr>
          <w:p>
            <w:pPr>
              <w:rPr>
                <w:b/>
              </w:rPr>
            </w:pPr>
            <w:r>
              <w:rPr>
                <w:b/>
              </w:rPr>
              <w:t xml:space="preserve">Circulaire 6792 </w:t>
            </w:r>
            <w:r>
              <w:rPr>
                <w:b/>
              </w:rPr>
              <w:tab/>
            </w:r>
            <w:r>
              <w:rPr>
                <w:b/>
              </w:rPr>
              <w:tab/>
            </w:r>
            <w:r>
              <w:rPr>
                <w:b/>
              </w:rPr>
              <w:tab/>
            </w:r>
            <w:r>
              <w:rPr>
                <w:b/>
              </w:rPr>
              <w:tab/>
            </w:r>
            <w:r>
              <w:rPr>
                <w:b/>
              </w:rPr>
              <w:tab/>
              <w:t xml:space="preserve">du  29/08/2018 </w:t>
            </w:r>
          </w:p>
          <w:p>
            <w:pPr>
              <w:rPr>
                <w:b/>
              </w:rPr>
            </w:pPr>
          </w:p>
          <w:p>
            <w:pPr>
              <w:rPr>
                <w:b/>
              </w:rPr>
            </w:pPr>
            <w:r>
              <w:rPr>
                <w:b/>
              </w:rPr>
              <w:t>Enseignement secondaire en alternance - Directives pour l’année scolaire 2018-2019 – Organisation, structures, encadrement</w:t>
            </w:r>
          </w:p>
          <w:p>
            <w:pPr>
              <w:rPr>
                <w:b/>
              </w:rPr>
            </w:pPr>
          </w:p>
          <w:p>
            <w:pPr>
              <w:rPr>
                <w:b/>
              </w:rPr>
            </w:pPr>
          </w:p>
        </w:tc>
      </w:tr>
      <w:tr>
        <w:trPr>
          <w:trHeight w:val="72"/>
        </w:trPr>
        <w:tc>
          <w:tcPr>
            <w:tcW w:w="2041" w:type="dxa"/>
            <w:vMerge/>
            <w:tcBorders>
              <w:bottom w:val="single" w:sz="24" w:space="0" w:color="auto"/>
            </w:tcBorders>
          </w:tcPr>
          <w:p>
            <w:pPr>
              <w:jc w:val="center"/>
              <w:rPr>
                <w:rFonts w:ascii="Verdana" w:hAnsi="Verdana"/>
                <w:b/>
                <w:color w:val="FF0000"/>
                <w:sz w:val="16"/>
                <w:szCs w:val="16"/>
              </w:rPr>
            </w:pPr>
          </w:p>
        </w:tc>
        <w:tc>
          <w:tcPr>
            <w:tcW w:w="7607" w:type="dxa"/>
            <w:tcBorders>
              <w:top w:val="single" w:sz="4" w:space="0" w:color="auto"/>
              <w:bottom w:val="single" w:sz="24" w:space="0" w:color="auto"/>
            </w:tcBorders>
          </w:tcPr>
          <w:p>
            <w:pPr>
              <w:rPr>
                <w:b/>
                <w:i/>
                <w:color w:val="000000"/>
              </w:rPr>
            </w:pPr>
            <w:r>
              <w:rPr>
                <w:b/>
                <w:i/>
                <w:color w:val="000000"/>
              </w:rPr>
              <w:t>Cette circulaire abroge la circulaire n°</w:t>
            </w:r>
            <w:r>
              <w:rPr>
                <w:b/>
                <w:bCs/>
                <w:spacing w:val="-2"/>
              </w:rPr>
              <w:t xml:space="preserve"> 6303 du   10 août 2017</w:t>
            </w:r>
          </w:p>
        </w:tc>
      </w:tr>
    </w:tbl>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9"/>
        <w:gridCol w:w="5609"/>
        <w:gridCol w:w="540"/>
      </w:tblGrid>
      <w:tr>
        <w:trPr>
          <w:trHeight w:val="3452"/>
        </w:trPr>
        <w:tc>
          <w:tcPr>
            <w:tcW w:w="4219" w:type="dxa"/>
            <w:vMerge w:val="restart"/>
          </w:tcPr>
          <w:p>
            <w:pPr>
              <w:shd w:val="clear" w:color="auto" w:fill="D9D9D9"/>
              <w:ind w:left="180" w:hanging="180"/>
            </w:pPr>
            <w:r>
              <w:rPr>
                <w:b/>
              </w:rPr>
              <w:t>Réseaux et niveaux concernés</w:t>
            </w:r>
          </w:p>
          <w:p>
            <w:pPr>
              <w:ind w:left="180" w:hanging="180"/>
            </w:pPr>
          </w:p>
          <w:bookmarkStart w:id="0" w:name="CaseACocher3"/>
          <w:p>
            <w:pPr>
              <w:ind w:left="180" w:hanging="180"/>
            </w:pPr>
            <w:r>
              <w:fldChar w:fldCharType="begin">
                <w:ffData>
                  <w:name w:val="CaseACocher3"/>
                  <w:enabled/>
                  <w:calcOnExit w:val="0"/>
                  <w:checkBox>
                    <w:sizeAuto/>
                    <w:default w:val="0"/>
                    <w:checked/>
                  </w:checkBox>
                </w:ffData>
              </w:fldChar>
            </w:r>
            <w:r>
              <w:instrText xml:space="preserve"> FORMCHECKBOX </w:instrText>
            </w:r>
            <w:r>
              <w:fldChar w:fldCharType="separate"/>
            </w:r>
            <w:r>
              <w:fldChar w:fldCharType="end"/>
            </w:r>
            <w:bookmarkEnd w:id="0"/>
            <w:r>
              <w:t xml:space="preserve"> Fédération Wallonie-  Bruxelles </w:t>
            </w:r>
          </w:p>
          <w:p>
            <w:pPr>
              <w:ind w:left="180" w:hanging="180"/>
            </w:pPr>
          </w:p>
          <w:bookmarkStart w:id="1" w:name="CaseACocher4"/>
          <w:p>
            <w:pPr>
              <w:ind w:left="180" w:hanging="180"/>
            </w:pPr>
            <w:r>
              <w:fldChar w:fldCharType="begin">
                <w:ffData>
                  <w:name w:val="CaseACocher4"/>
                  <w:enabled/>
                  <w:calcOnExit w:val="0"/>
                  <w:checkBox>
                    <w:sizeAuto/>
                    <w:default w:val="0"/>
                    <w:checked/>
                  </w:checkBox>
                </w:ffData>
              </w:fldChar>
            </w:r>
            <w:r>
              <w:instrText xml:space="preserve"> FORMCHECKBOX </w:instrText>
            </w:r>
            <w:r>
              <w:fldChar w:fldCharType="separate"/>
            </w:r>
            <w:r>
              <w:fldChar w:fldCharType="end"/>
            </w:r>
            <w:bookmarkEnd w:id="1"/>
            <w:r>
              <w:t xml:space="preserve">  Libre subventionné</w:t>
            </w:r>
          </w:p>
          <w:p>
            <w:pPr>
              <w:ind w:left="96"/>
            </w:pPr>
            <w:r>
              <w:rPr>
                <w:rFonts w:ascii="Symbol" w:hAnsi="Symbol"/>
              </w:rPr>
              <w:t></w:t>
            </w:r>
            <w:r>
              <w:rPr>
                <w:rFonts w:ascii="Symbol" w:hAnsi="Symbol"/>
              </w:rPr>
              <w:t></w:t>
            </w:r>
            <w:r>
              <w:rPr>
                <w:rFonts w:ascii="Symbol" w:hAnsi="Symbol"/>
              </w:rPr>
              <w:t></w:t>
            </w:r>
            <w:r>
              <w:rPr>
                <w:rFonts w:ascii="Symbol" w:hAnsi="Symbol"/>
              </w:rPr>
              <w:t></w:t>
            </w:r>
            <w:r>
              <w:rPr>
                <w:rFonts w:ascii="Symbol" w:hAnsi="Symbol"/>
              </w:rPr>
              <w:t></w:t>
            </w:r>
            <w:bookmarkStart w:id="2" w:name=""/>
            <w:bookmarkEnd w:id="2"/>
            <w:r>
              <w:rPr>
                <w:rFonts w:ascii="Symbol" w:hAnsi="Symbol"/>
              </w:rPr>
              <w:fldChar w:fldCharType="begin">
                <w:ffData>
                  <w:name w:val=""/>
                  <w:enabled/>
                  <w:calcOnExit w:val="0"/>
                  <w:checkBox>
                    <w:sizeAuto/>
                    <w:default w:val="0"/>
                    <w:checked/>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t xml:space="preserve">libre confessionnel </w:t>
            </w:r>
          </w:p>
          <w:p>
            <w:pPr>
              <w:ind w:left="96"/>
            </w:pPr>
            <w:r>
              <w:rPr>
                <w:rFonts w:ascii="Symbol" w:hAnsi="Symbol"/>
              </w:rPr>
              <w:t></w:t>
            </w:r>
            <w:r>
              <w:rPr>
                <w:rFonts w:ascii="Symbol" w:hAnsi="Symbol"/>
              </w:rPr>
              <w:t></w:t>
            </w:r>
            <w:r>
              <w:rPr>
                <w:rFonts w:ascii="Symbol" w:hAnsi="Symbol"/>
              </w:rPr>
              <w:t></w:t>
            </w:r>
            <w:r>
              <w:rPr>
                <w:rFonts w:ascii="Symbol" w:hAnsi="Symbol"/>
              </w:rPr>
              <w:t></w:t>
            </w:r>
            <w:r>
              <w:rPr>
                <w:rFonts w:ascii="Symbol" w:hAnsi="Symbol"/>
              </w:rPr>
              <w:t></w:t>
            </w:r>
            <w:bookmarkStart w:id="3" w:name=""/>
            <w:bookmarkEnd w:id="3"/>
            <w:r>
              <w:rPr>
                <w:rFonts w:ascii="Symbol" w:hAnsi="Symbol"/>
              </w:rPr>
              <w:fldChar w:fldCharType="begin">
                <w:ffData>
                  <w:name w:val=""/>
                  <w:enabled/>
                  <w:calcOnExit w:val="0"/>
                  <w:checkBox>
                    <w:sizeAuto/>
                    <w:default w:val="0"/>
                    <w:checked/>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t xml:space="preserve">libre non confessionnel) </w:t>
            </w:r>
          </w:p>
          <w:p>
            <w:pPr>
              <w:ind w:left="180" w:hanging="180"/>
            </w:pPr>
          </w:p>
          <w:bookmarkStart w:id="4" w:name="CaseACocher7"/>
          <w:p>
            <w:pPr>
              <w:ind w:left="180" w:hanging="180"/>
            </w:pPr>
            <w:r>
              <w:fldChar w:fldCharType="begin">
                <w:ffData>
                  <w:name w:val="CaseACocher7"/>
                  <w:enabled/>
                  <w:calcOnExit w:val="0"/>
                  <w:checkBox>
                    <w:sizeAuto/>
                    <w:default w:val="0"/>
                    <w:checked/>
                  </w:checkBox>
                </w:ffData>
              </w:fldChar>
            </w:r>
            <w:r>
              <w:instrText xml:space="preserve"> FORMCHECKBOX </w:instrText>
            </w:r>
            <w:r>
              <w:fldChar w:fldCharType="separate"/>
            </w:r>
            <w:r>
              <w:fldChar w:fldCharType="end"/>
            </w:r>
            <w:bookmarkEnd w:id="4"/>
            <w:r>
              <w:t>Officiel subventionné</w:t>
            </w:r>
          </w:p>
          <w:p>
            <w:pPr>
              <w:ind w:left="180" w:hanging="180"/>
              <w:rPr>
                <w:color w:val="000000"/>
              </w:rPr>
            </w:pPr>
            <w:r>
              <w:rPr>
                <w:color w:val="FF0000"/>
              </w:rPr>
              <w:br/>
            </w:r>
            <w:bookmarkStart w:id="5" w:name="CaseACocher8"/>
            <w:r>
              <w:rPr>
                <w:color w:val="000000"/>
              </w:rPr>
              <w:fldChar w:fldCharType="begin">
                <w:ffData>
                  <w:name w:val="CaseACocher8"/>
                  <w:enabled/>
                  <w:calcOnExit w:val="0"/>
                  <w:checkBox>
                    <w:sizeAuto/>
                    <w:default w:val="0"/>
                    <w:checked/>
                  </w:checkBox>
                </w:ffData>
              </w:fldChar>
            </w:r>
            <w:r>
              <w:rPr>
                <w:color w:val="000000"/>
              </w:rPr>
              <w:instrText xml:space="preserve"> FORMCHECKBOX </w:instrText>
            </w:r>
            <w:r>
              <w:rPr>
                <w:color w:val="000000"/>
              </w:rPr>
            </w:r>
            <w:r>
              <w:rPr>
                <w:color w:val="000000"/>
              </w:rPr>
              <w:fldChar w:fldCharType="separate"/>
            </w:r>
            <w:r>
              <w:rPr>
                <w:color w:val="000000"/>
              </w:rPr>
              <w:fldChar w:fldCharType="end"/>
            </w:r>
            <w:bookmarkEnd w:id="5"/>
            <w:r>
              <w:rPr>
                <w:color w:val="000000"/>
              </w:rPr>
              <w:t xml:space="preserve"> </w:t>
            </w:r>
            <w:r>
              <w:t>Niveau : Secondaire ordinaire CEFA</w:t>
            </w:r>
          </w:p>
          <w:p>
            <w:pPr>
              <w:ind w:left="180" w:hanging="180"/>
              <w:rPr>
                <w:color w:val="FF0000"/>
              </w:rPr>
            </w:pPr>
          </w:p>
          <w:p>
            <w:pPr>
              <w:shd w:val="clear" w:color="auto" w:fill="D9D9D9"/>
              <w:ind w:left="180" w:hanging="180"/>
            </w:pPr>
            <w:r>
              <w:rPr>
                <w:b/>
              </w:rPr>
              <w:t>Type de circulaire</w:t>
            </w:r>
          </w:p>
          <w:bookmarkStart w:id="6" w:name="CaseACocher9"/>
          <w:p>
            <w:pPr>
              <w:tabs>
                <w:tab w:val="left" w:pos="5580"/>
              </w:tabs>
              <w:ind w:left="180" w:hanging="180"/>
            </w:pPr>
            <w:r>
              <w:fldChar w:fldCharType="begin">
                <w:ffData>
                  <w:name w:val="CaseACocher9"/>
                  <w:enabled/>
                  <w:calcOnExit w:val="0"/>
                  <w:checkBox>
                    <w:sizeAuto/>
                    <w:default w:val="0"/>
                    <w:checked/>
                  </w:checkBox>
                </w:ffData>
              </w:fldChar>
            </w:r>
            <w:r>
              <w:instrText xml:space="preserve"> FORMCHECKBOX </w:instrText>
            </w:r>
            <w:r>
              <w:fldChar w:fldCharType="separate"/>
            </w:r>
            <w:r>
              <w:fldChar w:fldCharType="end"/>
            </w:r>
            <w:bookmarkEnd w:id="6"/>
            <w:r>
              <w:t xml:space="preserve"> Circulaire administrative</w:t>
            </w:r>
          </w:p>
          <w:p>
            <w:pPr>
              <w:tabs>
                <w:tab w:val="left" w:pos="5580"/>
              </w:tabs>
              <w:ind w:left="180" w:hanging="180"/>
            </w:pPr>
          </w:p>
          <w:bookmarkStart w:id="7" w:name="CaseACocher10"/>
          <w:p>
            <w:pPr>
              <w:tabs>
                <w:tab w:val="left" w:pos="5580"/>
              </w:tabs>
              <w:ind w:left="180" w:hanging="180"/>
            </w:pPr>
            <w:r>
              <w:fldChar w:fldCharType="begin">
                <w:ffData>
                  <w:name w:val="CaseACocher10"/>
                  <w:enabled/>
                  <w:calcOnExit w:val="0"/>
                  <w:checkBox>
                    <w:sizeAuto/>
                    <w:default w:val="0"/>
                    <w:checked w:val="0"/>
                  </w:checkBox>
                </w:ffData>
              </w:fldChar>
            </w:r>
            <w:r>
              <w:instrText xml:space="preserve"> FORMCHECKBOX </w:instrText>
            </w:r>
            <w:r>
              <w:fldChar w:fldCharType="separate"/>
            </w:r>
            <w:r>
              <w:fldChar w:fldCharType="end"/>
            </w:r>
            <w:bookmarkEnd w:id="7"/>
            <w:r>
              <w:t xml:space="preserve"> Circulaire informative</w:t>
            </w:r>
          </w:p>
          <w:p>
            <w:pPr>
              <w:tabs>
                <w:tab w:val="left" w:pos="5580"/>
              </w:tabs>
              <w:ind w:left="180" w:hanging="180"/>
            </w:pPr>
            <w:r>
              <w:tab/>
            </w:r>
            <w:r>
              <w:tab/>
            </w:r>
          </w:p>
          <w:p>
            <w:pPr>
              <w:tabs>
                <w:tab w:val="left" w:pos="1980"/>
                <w:tab w:val="left" w:pos="4500"/>
                <w:tab w:val="left" w:leader="dot" w:pos="8460"/>
              </w:tabs>
              <w:ind w:left="180" w:hanging="180"/>
            </w:pPr>
          </w:p>
          <w:p>
            <w:pPr>
              <w:shd w:val="clear" w:color="auto" w:fill="D9D9D9"/>
              <w:ind w:left="180" w:hanging="180"/>
            </w:pPr>
            <w:r>
              <w:rPr>
                <w:b/>
              </w:rPr>
              <w:t>Période de validité</w:t>
            </w:r>
          </w:p>
          <w:bookmarkStart w:id="8" w:name="CaseACocher11"/>
          <w:p>
            <w:pPr>
              <w:tabs>
                <w:tab w:val="left" w:pos="3420"/>
                <w:tab w:val="left" w:pos="6840"/>
              </w:tabs>
              <w:ind w:left="180" w:hanging="180"/>
              <w:rPr>
                <w:color w:val="000000"/>
              </w:rPr>
            </w:pPr>
            <w:r>
              <w:fldChar w:fldCharType="begin">
                <w:ffData>
                  <w:name w:val="CaseACocher11"/>
                  <w:enabled/>
                  <w:calcOnExit w:val="0"/>
                  <w:checkBox>
                    <w:sizeAuto/>
                    <w:default w:val="0"/>
                    <w:checked w:val="0"/>
                  </w:checkBox>
                </w:ffData>
              </w:fldChar>
            </w:r>
            <w:r>
              <w:instrText xml:space="preserve"> FORMCHECKBOX </w:instrText>
            </w:r>
            <w:r>
              <w:fldChar w:fldCharType="separate"/>
            </w:r>
            <w:r>
              <w:fldChar w:fldCharType="end"/>
            </w:r>
            <w:bookmarkEnd w:id="8"/>
            <w:r>
              <w:t xml:space="preserve"> A </w:t>
            </w:r>
            <w:r>
              <w:rPr>
                <w:color w:val="000000"/>
              </w:rPr>
              <w:t xml:space="preserve">partir du         </w:t>
            </w:r>
          </w:p>
          <w:p>
            <w:pPr>
              <w:tabs>
                <w:tab w:val="left" w:pos="3420"/>
                <w:tab w:val="left" w:pos="6840"/>
              </w:tabs>
              <w:ind w:left="180" w:hanging="180"/>
              <w:rPr>
                <w:color w:val="000000"/>
              </w:rPr>
            </w:pPr>
            <w:r>
              <w:rPr>
                <w:color w:val="000000"/>
              </w:rPr>
              <w:t xml:space="preserve">                                       </w:t>
            </w:r>
          </w:p>
          <w:bookmarkStart w:id="9" w:name="CaseACocher12"/>
          <w:p>
            <w:pPr>
              <w:tabs>
                <w:tab w:val="left" w:pos="3420"/>
                <w:tab w:val="left" w:pos="6840"/>
              </w:tabs>
              <w:ind w:left="180" w:hanging="180"/>
              <w:rPr>
                <w:color w:val="000000"/>
              </w:rPr>
            </w:pPr>
            <w:r>
              <w:rPr>
                <w:color w:val="000000"/>
              </w:rPr>
              <w:fldChar w:fldCharType="begin">
                <w:ffData>
                  <w:name w:val="CaseACocher12"/>
                  <w:enabled/>
                  <w:calcOnExit w:val="0"/>
                  <w:checkBox>
                    <w:sizeAuto/>
                    <w:default w:val="0"/>
                    <w:checked/>
                  </w:checkBox>
                </w:ffData>
              </w:fldChar>
            </w:r>
            <w:r>
              <w:rPr>
                <w:color w:val="000000"/>
              </w:rPr>
              <w:instrText xml:space="preserve"> FORMCHECKBOX </w:instrText>
            </w:r>
            <w:r>
              <w:rPr>
                <w:color w:val="000000"/>
              </w:rPr>
            </w:r>
            <w:r>
              <w:rPr>
                <w:color w:val="000000"/>
              </w:rPr>
              <w:fldChar w:fldCharType="separate"/>
            </w:r>
            <w:r>
              <w:rPr>
                <w:color w:val="000000"/>
              </w:rPr>
              <w:fldChar w:fldCharType="end"/>
            </w:r>
            <w:bookmarkEnd w:id="9"/>
            <w:r>
              <w:rPr>
                <w:color w:val="000000"/>
              </w:rPr>
              <w:t xml:space="preserve"> Du 01/09/2018 au 31/08/2019</w:t>
            </w:r>
          </w:p>
          <w:p>
            <w:pPr>
              <w:ind w:left="180" w:hanging="180"/>
            </w:pPr>
          </w:p>
          <w:p>
            <w:pPr>
              <w:shd w:val="clear" w:color="auto" w:fill="D9D9D9"/>
              <w:ind w:left="180" w:hanging="180"/>
            </w:pPr>
            <w:r>
              <w:rPr>
                <w:b/>
              </w:rPr>
              <w:t>Documents à renvoyer</w:t>
            </w:r>
          </w:p>
          <w:p>
            <w:pPr>
              <w:tabs>
                <w:tab w:val="left" w:pos="3420"/>
                <w:tab w:val="left" w:pos="6840"/>
              </w:tabs>
              <w:ind w:left="180" w:hanging="180"/>
            </w:pPr>
          </w:p>
          <w:bookmarkStart w:id="10" w:name="CaseACocher13"/>
          <w:p>
            <w:pPr>
              <w:tabs>
                <w:tab w:val="left" w:pos="3420"/>
                <w:tab w:val="left" w:pos="6840"/>
              </w:tabs>
              <w:ind w:left="180" w:hanging="180"/>
            </w:pPr>
            <w:r>
              <w:fldChar w:fldCharType="begin">
                <w:ffData>
                  <w:name w:val="CaseACocher13"/>
                  <w:enabled/>
                  <w:calcOnExit w:val="0"/>
                  <w:checkBox>
                    <w:sizeAuto/>
                    <w:default w:val="0"/>
                    <w:checked/>
                  </w:checkBox>
                </w:ffData>
              </w:fldChar>
            </w:r>
            <w:r>
              <w:instrText xml:space="preserve"> FORMCHECKBOX </w:instrText>
            </w:r>
            <w:r>
              <w:fldChar w:fldCharType="separate"/>
            </w:r>
            <w:r>
              <w:fldChar w:fldCharType="end"/>
            </w:r>
            <w:bookmarkEnd w:id="10"/>
            <w:r>
              <w:t xml:space="preserve"> Oui </w:t>
            </w:r>
          </w:p>
          <w:p>
            <w:pPr>
              <w:tabs>
                <w:tab w:val="left" w:pos="3420"/>
                <w:tab w:val="left" w:pos="6840"/>
              </w:tabs>
              <w:ind w:left="180" w:hanging="180"/>
            </w:pPr>
          </w:p>
          <w:bookmarkStart w:id="11" w:name=""/>
          <w:bookmarkEnd w:id="11"/>
          <w:p>
            <w:pPr>
              <w:ind w:left="96"/>
            </w:pPr>
            <w:r>
              <w:rPr>
                <w:rFonts w:ascii="Symbol" w:hAnsi="Symbol"/>
              </w:rPr>
              <w:fldChar w:fldCharType="begin">
                <w:ffData>
                  <w:name w:val=""/>
                  <w:enabled/>
                  <w:calcOnExit w:val="0"/>
                  <w:checkBox>
                    <w:sizeAuto/>
                    <w:default w:val="0"/>
                    <w:checked w:val="0"/>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t xml:space="preserve">Date limite :   </w:t>
            </w:r>
          </w:p>
          <w:p>
            <w:pPr>
              <w:ind w:left="96"/>
            </w:pPr>
          </w:p>
          <w:bookmarkStart w:id="12" w:name=""/>
          <w:bookmarkEnd w:id="12"/>
          <w:p>
            <w:pPr>
              <w:ind w:left="96"/>
            </w:pPr>
            <w:r>
              <w:rPr>
                <w:rFonts w:ascii="Symbol" w:hAnsi="Symbol"/>
              </w:rPr>
              <w:fldChar w:fldCharType="begin">
                <w:ffData>
                  <w:name w:val=""/>
                  <w:enabled/>
                  <w:calcOnExit w:val="0"/>
                  <w:checkBox>
                    <w:sizeAuto/>
                    <w:default w:val="0"/>
                    <w:checked/>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t xml:space="preserve">Voir dates figurant dans la circulaire </w:t>
            </w:r>
          </w:p>
          <w:p>
            <w:pPr>
              <w:tabs>
                <w:tab w:val="left" w:pos="3420"/>
                <w:tab w:val="left" w:pos="6840"/>
              </w:tabs>
            </w:pPr>
          </w:p>
          <w:p>
            <w:pPr>
              <w:shd w:val="clear" w:color="auto" w:fill="D9D9D9"/>
              <w:ind w:left="180" w:hanging="180"/>
            </w:pPr>
            <w:r>
              <w:rPr>
                <w:b/>
              </w:rPr>
              <w:t>Mots-clés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5"/>
              <w:gridCol w:w="415"/>
            </w:tblGrid>
            <w:tr>
              <w:tc>
                <w:tcPr>
                  <w:tcW w:w="7375" w:type="dxa"/>
                  <w:tcBorders>
                    <w:top w:val="single" w:sz="4" w:space="0" w:color="auto"/>
                    <w:left w:val="single" w:sz="4" w:space="0" w:color="auto"/>
                    <w:bottom w:val="single" w:sz="4" w:space="0" w:color="auto"/>
                    <w:right w:val="single" w:sz="4" w:space="0" w:color="auto"/>
                  </w:tcBorders>
                </w:tcPr>
                <w:p>
                  <w:pPr>
                    <w:autoSpaceDE w:val="0"/>
                    <w:autoSpaceDN w:val="0"/>
                    <w:adjustRightInd w:val="0"/>
                    <w:ind w:left="180" w:hanging="180"/>
                    <w:rPr>
                      <w:color w:val="FF0000"/>
                    </w:rPr>
                  </w:pPr>
                </w:p>
                <w:p>
                  <w:pPr>
                    <w:autoSpaceDE w:val="0"/>
                    <w:autoSpaceDN w:val="0"/>
                    <w:adjustRightInd w:val="0"/>
                    <w:ind w:left="180" w:hanging="180"/>
                    <w:rPr>
                      <w:color w:val="000000"/>
                    </w:rPr>
                  </w:pPr>
                  <w:r>
                    <w:rPr>
                      <w:color w:val="000000"/>
                    </w:rPr>
                    <w:t xml:space="preserve">Secondaire – Directives – </w:t>
                  </w:r>
                </w:p>
                <w:p>
                  <w:pPr>
                    <w:autoSpaceDE w:val="0"/>
                    <w:autoSpaceDN w:val="0"/>
                    <w:adjustRightInd w:val="0"/>
                    <w:ind w:left="180" w:hanging="180"/>
                    <w:rPr>
                      <w:color w:val="000000"/>
                    </w:rPr>
                  </w:pPr>
                  <w:r>
                    <w:rPr>
                      <w:color w:val="000000"/>
                    </w:rPr>
                    <w:t>Organisation – Structures –</w:t>
                  </w:r>
                </w:p>
                <w:p>
                  <w:pPr>
                    <w:autoSpaceDE w:val="0"/>
                    <w:autoSpaceDN w:val="0"/>
                    <w:adjustRightInd w:val="0"/>
                    <w:ind w:left="180" w:hanging="180"/>
                    <w:rPr>
                      <w:rFonts w:cs="Arial"/>
                      <w:color w:val="000000"/>
                    </w:rPr>
                  </w:pPr>
                  <w:r>
                    <w:rPr>
                      <w:color w:val="000000"/>
                    </w:rPr>
                    <w:t xml:space="preserve">Encadrement - </w:t>
                  </w:r>
                  <w:r>
                    <w:rPr>
                      <w:rFonts w:cs="Arial"/>
                      <w:color w:val="000000"/>
                    </w:rPr>
                    <w:t>Sanction des études - Alternance</w:t>
                  </w:r>
                </w:p>
                <w:p>
                  <w:pPr>
                    <w:autoSpaceDE w:val="0"/>
                    <w:autoSpaceDN w:val="0"/>
                    <w:adjustRightInd w:val="0"/>
                    <w:ind w:left="180" w:hanging="180"/>
                    <w:rPr>
                      <w:color w:val="FF0000"/>
                    </w:rPr>
                  </w:pPr>
                </w:p>
              </w:tc>
              <w:tc>
                <w:tcPr>
                  <w:tcW w:w="415" w:type="dxa"/>
                  <w:tcBorders>
                    <w:top w:val="single" w:sz="4" w:space="0" w:color="auto"/>
                    <w:left w:val="single" w:sz="4" w:space="0" w:color="auto"/>
                    <w:bottom w:val="single" w:sz="4" w:space="0" w:color="auto"/>
                    <w:right w:val="single" w:sz="4" w:space="0" w:color="auto"/>
                  </w:tcBorders>
                </w:tcPr>
                <w:p>
                  <w:pPr>
                    <w:tabs>
                      <w:tab w:val="left" w:pos="3420"/>
                      <w:tab w:val="left" w:pos="6840"/>
                    </w:tabs>
                    <w:ind w:left="180" w:hanging="180"/>
                    <w:rPr>
                      <w:rFonts w:ascii="Verdana" w:hAnsi="Verdana"/>
                      <w:sz w:val="18"/>
                      <w:szCs w:val="18"/>
                    </w:rPr>
                  </w:pPr>
                </w:p>
              </w:tc>
            </w:tr>
          </w:tbl>
          <w:p>
            <w:pPr>
              <w:shd w:val="clear" w:color="auto" w:fill="D9D9D9"/>
              <w:ind w:left="284"/>
              <w:rPr>
                <w:b/>
              </w:rPr>
            </w:pPr>
          </w:p>
        </w:tc>
        <w:tc>
          <w:tcPr>
            <w:tcW w:w="5609" w:type="dxa"/>
            <w:vMerge w:val="restart"/>
          </w:tcPr>
          <w:p>
            <w:pPr>
              <w:shd w:val="clear" w:color="auto" w:fill="D9D9D9"/>
              <w:ind w:left="284"/>
            </w:pPr>
            <w:r>
              <w:rPr>
                <w:b/>
              </w:rPr>
              <w:t>Destinataires de la circulaire</w:t>
            </w:r>
          </w:p>
          <w:p>
            <w:pPr>
              <w:autoSpaceDE w:val="0"/>
              <w:autoSpaceDN w:val="0"/>
              <w:adjustRightInd w:val="0"/>
              <w:ind w:left="252"/>
              <w:rPr>
                <w:color w:val="FF0000"/>
              </w:rPr>
            </w:pPr>
          </w:p>
          <w:tbl>
            <w:tblPr>
              <w:tblW w:w="10368" w:type="dxa"/>
              <w:tblLayout w:type="fixed"/>
              <w:tblLook w:val="0000" w:firstRow="0" w:lastRow="0" w:firstColumn="0" w:lastColumn="0" w:noHBand="0" w:noVBand="0"/>
            </w:tblPr>
            <w:tblGrid>
              <w:gridCol w:w="9527"/>
              <w:gridCol w:w="841"/>
            </w:tblGrid>
            <w:tr>
              <w:trPr>
                <w:trHeight w:val="3452"/>
              </w:trPr>
              <w:tc>
                <w:tcPr>
                  <w:tcW w:w="6120" w:type="dxa"/>
                  <w:tcBorders>
                    <w:top w:val="single" w:sz="4" w:space="0" w:color="000000"/>
                    <w:left w:val="single" w:sz="4" w:space="0" w:color="000000"/>
                    <w:bottom w:val="single" w:sz="4" w:space="0" w:color="000000"/>
                  </w:tcBorders>
                  <w:shd w:val="clear" w:color="auto" w:fill="auto"/>
                </w:tcPr>
                <w:p>
                  <w:pPr>
                    <w:shd w:val="clear" w:color="auto" w:fill="D9D9D9"/>
                    <w:snapToGrid w:val="0"/>
                    <w:ind w:left="284"/>
                    <w:rPr>
                      <w:b/>
                      <w:lang w:val="fr-BE"/>
                    </w:rPr>
                  </w:pPr>
                  <w:r>
                    <w:rPr>
                      <w:b/>
                      <w:lang w:val="fr-BE"/>
                    </w:rPr>
                    <w:t>Destinataires de la circulaire</w:t>
                  </w:r>
                </w:p>
                <w:p>
                  <w:pPr>
                    <w:autoSpaceDE w:val="0"/>
                    <w:ind w:left="252"/>
                    <w:rPr>
                      <w:color w:val="FF0000"/>
                      <w:lang w:val="fr-BE"/>
                    </w:rPr>
                  </w:pPr>
                </w:p>
                <w:p>
                  <w:pPr>
                    <w:numPr>
                      <w:ilvl w:val="0"/>
                      <w:numId w:val="39"/>
                    </w:numPr>
                    <w:tabs>
                      <w:tab w:val="clear" w:pos="1004"/>
                      <w:tab w:val="num" w:pos="1152"/>
                    </w:tabs>
                    <w:ind w:left="1152" w:right="4258"/>
                    <w:rPr>
                      <w:lang w:val="fr-BE"/>
                    </w:rPr>
                  </w:pPr>
                  <w:r>
                    <w:rPr>
                      <w:lang w:val="fr-BE"/>
                    </w:rPr>
                    <w:t>A Madame la Ministre chargée de l’Education</w:t>
                  </w:r>
                </w:p>
                <w:p>
                  <w:pPr>
                    <w:numPr>
                      <w:ilvl w:val="0"/>
                      <w:numId w:val="39"/>
                    </w:numPr>
                    <w:tabs>
                      <w:tab w:val="clear" w:pos="1004"/>
                      <w:tab w:val="num" w:pos="1152"/>
                    </w:tabs>
                    <w:ind w:left="1152" w:right="4258"/>
                    <w:rPr>
                      <w:lang w:val="fr-BE"/>
                    </w:rPr>
                  </w:pPr>
                  <w:r>
                    <w:rPr>
                      <w:lang w:val="fr-BE"/>
                    </w:rPr>
                    <w:t>Au Service général de l’Enseignement organisé par la Fédération Wallonie-Bruxelles</w:t>
                  </w:r>
                </w:p>
                <w:p>
                  <w:pPr>
                    <w:numPr>
                      <w:ilvl w:val="0"/>
                      <w:numId w:val="39"/>
                    </w:numPr>
                    <w:tabs>
                      <w:tab w:val="clear" w:pos="1004"/>
                      <w:tab w:val="num" w:pos="1152"/>
                    </w:tabs>
                    <w:ind w:left="1152" w:right="4258"/>
                    <w:rPr>
                      <w:lang w:val="fr-BE"/>
                    </w:rPr>
                  </w:pPr>
                  <w:r>
                    <w:rPr>
                      <w:lang w:val="fr-BE"/>
                    </w:rPr>
                    <w:t>Aux Pouvoirs organisateurs des écoles subventionnées par la Fédération Wallonie-Bruxelles, d’enseignement secondaire ordinaire de plein exercice</w:t>
                  </w:r>
                </w:p>
                <w:p>
                  <w:pPr>
                    <w:numPr>
                      <w:ilvl w:val="0"/>
                      <w:numId w:val="39"/>
                    </w:numPr>
                    <w:tabs>
                      <w:tab w:val="clear" w:pos="1004"/>
                      <w:tab w:val="num" w:pos="1152"/>
                    </w:tabs>
                    <w:ind w:left="1152" w:right="4258"/>
                    <w:rPr>
                      <w:lang w:val="fr-BE"/>
                    </w:rPr>
                  </w:pPr>
                  <w:r>
                    <w:rPr>
                      <w:lang w:val="fr-BE"/>
                    </w:rPr>
                    <w:t>Aux Chefs d’établissement des écoles organisées ou subventionnées par la Fédération Wallonie-Bruxelles, d’enseignement secondaire ordinaire de plein exercice</w:t>
                  </w:r>
                </w:p>
                <w:p>
                  <w:pPr>
                    <w:ind w:right="4258"/>
                    <w:rPr>
                      <w:lang w:val="fr-BE"/>
                    </w:rPr>
                  </w:pPr>
                </w:p>
                <w:p>
                  <w:pPr>
                    <w:ind w:right="4258"/>
                    <w:rPr>
                      <w:lang w:val="fr-BE"/>
                    </w:rPr>
                  </w:pPr>
                  <w:r>
                    <w:rPr>
                      <w:lang w:val="fr-BE"/>
                    </w:rPr>
                    <w:t xml:space="preserve">                Pour information : </w:t>
                  </w:r>
                </w:p>
                <w:p>
                  <w:pPr>
                    <w:numPr>
                      <w:ilvl w:val="0"/>
                      <w:numId w:val="39"/>
                    </w:numPr>
                    <w:tabs>
                      <w:tab w:val="clear" w:pos="1004"/>
                      <w:tab w:val="num" w:pos="1152"/>
                    </w:tabs>
                    <w:ind w:left="1152" w:right="4258"/>
                    <w:rPr>
                      <w:lang w:val="fr-BE"/>
                    </w:rPr>
                  </w:pPr>
                  <w:r>
                    <w:rPr>
                      <w:lang w:val="fr-BE"/>
                    </w:rPr>
                    <w:t>Aux Vérificateurs/-</w:t>
                  </w:r>
                  <w:proofErr w:type="spellStart"/>
                  <w:r>
                    <w:rPr>
                      <w:lang w:val="fr-BE"/>
                    </w:rPr>
                    <w:t>trices</w:t>
                  </w:r>
                  <w:proofErr w:type="spellEnd"/>
                </w:p>
                <w:p>
                  <w:pPr>
                    <w:numPr>
                      <w:ilvl w:val="0"/>
                      <w:numId w:val="39"/>
                    </w:numPr>
                    <w:tabs>
                      <w:tab w:val="clear" w:pos="1004"/>
                      <w:tab w:val="num" w:pos="1152"/>
                    </w:tabs>
                    <w:ind w:left="1152" w:right="4258"/>
                    <w:rPr>
                      <w:lang w:val="fr-BE"/>
                    </w:rPr>
                  </w:pPr>
                  <w:r>
                    <w:rPr>
                      <w:lang w:val="fr-BE"/>
                    </w:rPr>
                    <w:t>Aux membres du Service général de l’Inspection de l’enseignement secondaire ordinaire</w:t>
                  </w:r>
                </w:p>
                <w:p>
                  <w:pPr>
                    <w:numPr>
                      <w:ilvl w:val="0"/>
                      <w:numId w:val="39"/>
                    </w:numPr>
                    <w:tabs>
                      <w:tab w:val="clear" w:pos="1004"/>
                      <w:tab w:val="num" w:pos="1152"/>
                    </w:tabs>
                    <w:ind w:left="1152" w:right="4258"/>
                    <w:rPr>
                      <w:lang w:val="fr-BE"/>
                    </w:rPr>
                  </w:pPr>
                  <w:r>
                    <w:rPr>
                      <w:lang w:val="fr-BE"/>
                    </w:rPr>
                    <w:t>Aux Coordonnateurs/-</w:t>
                  </w:r>
                  <w:proofErr w:type="spellStart"/>
                  <w:r>
                    <w:rPr>
                      <w:lang w:val="fr-BE"/>
                    </w:rPr>
                    <w:t>trices</w:t>
                  </w:r>
                  <w:proofErr w:type="spellEnd"/>
                  <w:r>
                    <w:rPr>
                      <w:lang w:val="fr-BE"/>
                    </w:rPr>
                    <w:t xml:space="preserve"> des CEFA organisés ou subventionnés par la Fédération Wallonie-Bruxelles</w:t>
                  </w:r>
                </w:p>
                <w:p>
                  <w:pPr>
                    <w:numPr>
                      <w:ilvl w:val="0"/>
                      <w:numId w:val="39"/>
                    </w:numPr>
                    <w:tabs>
                      <w:tab w:val="clear" w:pos="1004"/>
                      <w:tab w:val="num" w:pos="1152"/>
                    </w:tabs>
                    <w:ind w:left="1152" w:right="4258"/>
                    <w:rPr>
                      <w:lang w:val="fr-BE"/>
                    </w:rPr>
                  </w:pPr>
                  <w:r>
                    <w:rPr>
                      <w:lang w:val="fr-BE"/>
                    </w:rPr>
                    <w:t>Aux Organisations Syndicales</w:t>
                  </w:r>
                </w:p>
                <w:p>
                  <w:pPr>
                    <w:numPr>
                      <w:ilvl w:val="0"/>
                      <w:numId w:val="39"/>
                    </w:numPr>
                    <w:tabs>
                      <w:tab w:val="clear" w:pos="1004"/>
                      <w:tab w:val="num" w:pos="1152"/>
                    </w:tabs>
                    <w:ind w:left="1152" w:right="4258"/>
                    <w:rPr>
                      <w:lang w:val="fr-BE"/>
                    </w:rPr>
                  </w:pPr>
                  <w:r>
                    <w:rPr>
                      <w:lang w:val="fr-BE"/>
                    </w:rPr>
                    <w:t>Aux Fédérations d’associations de Parents</w:t>
                  </w:r>
                </w:p>
                <w:p>
                  <w:pPr>
                    <w:ind w:left="792"/>
                    <w:rPr>
                      <w:lang w:val="fr-BE"/>
                    </w:rPr>
                  </w:pPr>
                </w:p>
                <w:p>
                  <w:pPr>
                    <w:ind w:left="792"/>
                    <w:rPr>
                      <w:color w:val="FF0000"/>
                      <w:lang w:val="fr-BE"/>
                    </w:rPr>
                  </w:pPr>
                </w:p>
              </w:tc>
              <w:tc>
                <w:tcPr>
                  <w:tcW w:w="540" w:type="dxa"/>
                  <w:tcBorders>
                    <w:left w:val="single" w:sz="4" w:space="0" w:color="000000"/>
                  </w:tcBorders>
                  <w:shd w:val="clear" w:color="auto" w:fill="auto"/>
                </w:tcPr>
                <w:p>
                  <w:pPr>
                    <w:tabs>
                      <w:tab w:val="left" w:pos="1980"/>
                      <w:tab w:val="left" w:pos="4500"/>
                      <w:tab w:val="left" w:leader="dot" w:pos="8460"/>
                    </w:tabs>
                    <w:snapToGrid w:val="0"/>
                    <w:ind w:left="72"/>
                    <w:rPr>
                      <w:rFonts w:ascii="Verdana" w:hAnsi="Verdana"/>
                      <w:sz w:val="18"/>
                      <w:szCs w:val="18"/>
                      <w:lang w:val="fr-BE"/>
                    </w:rPr>
                  </w:pPr>
                </w:p>
              </w:tc>
            </w:tr>
          </w:tbl>
          <w:p>
            <w:pPr>
              <w:ind w:left="792"/>
            </w:pPr>
          </w:p>
          <w:p>
            <w:pPr>
              <w:ind w:left="792"/>
              <w:rPr>
                <w:color w:val="FF0000"/>
              </w:rPr>
            </w:pPr>
          </w:p>
        </w:tc>
        <w:tc>
          <w:tcPr>
            <w:tcW w:w="540" w:type="dxa"/>
            <w:tcBorders>
              <w:top w:val="nil"/>
              <w:bottom w:val="nil"/>
              <w:right w:val="nil"/>
            </w:tcBorders>
          </w:tcPr>
          <w:p>
            <w:pPr>
              <w:tabs>
                <w:tab w:val="left" w:pos="1980"/>
                <w:tab w:val="left" w:pos="4500"/>
                <w:tab w:val="left" w:leader="dot" w:pos="8460"/>
              </w:tabs>
              <w:ind w:left="72"/>
              <w:rPr>
                <w:rFonts w:ascii="Verdana" w:hAnsi="Verdana"/>
                <w:sz w:val="18"/>
                <w:szCs w:val="18"/>
              </w:rPr>
            </w:pPr>
          </w:p>
        </w:tc>
      </w:tr>
      <w:tr>
        <w:trPr>
          <w:trHeight w:val="4660"/>
        </w:trPr>
        <w:tc>
          <w:tcPr>
            <w:tcW w:w="4219" w:type="dxa"/>
            <w:vMerge/>
          </w:tcPr>
          <w:p>
            <w:pPr>
              <w:shd w:val="clear" w:color="auto" w:fill="D9D9D9"/>
              <w:ind w:left="284"/>
              <w:rPr>
                <w:b/>
              </w:rPr>
            </w:pPr>
          </w:p>
        </w:tc>
        <w:tc>
          <w:tcPr>
            <w:tcW w:w="5609" w:type="dxa"/>
            <w:vMerge/>
          </w:tcPr>
          <w:p>
            <w:pPr>
              <w:shd w:val="clear" w:color="auto" w:fill="D9D9D9"/>
              <w:ind w:left="284"/>
              <w:rPr>
                <w:b/>
              </w:rPr>
            </w:pPr>
          </w:p>
        </w:tc>
        <w:tc>
          <w:tcPr>
            <w:tcW w:w="540" w:type="dxa"/>
            <w:vMerge w:val="restart"/>
            <w:tcBorders>
              <w:top w:val="nil"/>
              <w:bottom w:val="nil"/>
              <w:right w:val="nil"/>
            </w:tcBorders>
          </w:tcPr>
          <w:p>
            <w:pPr>
              <w:tabs>
                <w:tab w:val="left" w:pos="1980"/>
                <w:tab w:val="left" w:pos="4500"/>
                <w:tab w:val="left" w:leader="dot" w:pos="8460"/>
              </w:tabs>
              <w:ind w:left="72"/>
              <w:rPr>
                <w:rFonts w:ascii="Verdana" w:hAnsi="Verdana"/>
                <w:sz w:val="18"/>
                <w:szCs w:val="18"/>
              </w:rPr>
            </w:pPr>
            <w:r>
              <w:rPr>
                <w:rFonts w:ascii="Verdana" w:hAnsi="Verdana"/>
                <w:noProof/>
                <w:sz w:val="18"/>
                <w:szCs w:val="18"/>
                <w:lang w:val="fr-BE" w:eastAsia="fr-BE"/>
              </w:rPr>
              <w:drawing>
                <wp:inline distT="0" distB="0" distL="0" distR="0">
                  <wp:extent cx="300355" cy="5186045"/>
                  <wp:effectExtent l="19050" t="0" r="444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cstate="print"/>
                          <a:srcRect/>
                          <a:stretch>
                            <a:fillRect/>
                          </a:stretch>
                        </pic:blipFill>
                        <pic:spPr bwMode="auto">
                          <a:xfrm>
                            <a:off x="0" y="0"/>
                            <a:ext cx="300355" cy="5186045"/>
                          </a:xfrm>
                          <a:prstGeom prst="rect">
                            <a:avLst/>
                          </a:prstGeom>
                          <a:noFill/>
                          <a:ln w="9525">
                            <a:noFill/>
                            <a:miter lim="800000"/>
                            <a:headEnd/>
                            <a:tailEnd/>
                          </a:ln>
                        </pic:spPr>
                      </pic:pic>
                    </a:graphicData>
                  </a:graphic>
                </wp:inline>
              </w:drawing>
            </w:r>
          </w:p>
        </w:tc>
      </w:tr>
      <w:tr>
        <w:trPr>
          <w:trHeight w:val="296"/>
        </w:trPr>
        <w:tc>
          <w:tcPr>
            <w:tcW w:w="9828" w:type="dxa"/>
            <w:gridSpan w:val="2"/>
          </w:tcPr>
          <w:p>
            <w:pPr>
              <w:shd w:val="clear" w:color="auto" w:fill="D9D9D9"/>
              <w:tabs>
                <w:tab w:val="left" w:pos="252"/>
                <w:tab w:val="left" w:pos="1980"/>
                <w:tab w:val="left" w:pos="4500"/>
                <w:tab w:val="left" w:leader="dot" w:pos="8460"/>
              </w:tabs>
              <w:ind w:right="72"/>
            </w:pPr>
            <w:r>
              <w:br w:type="page"/>
            </w:r>
            <w:r>
              <w:rPr>
                <w:b/>
              </w:rPr>
              <w:t>Signataire</w:t>
            </w:r>
          </w:p>
          <w:tbl>
            <w:tblPr>
              <w:tblW w:w="0" w:type="auto"/>
              <w:tblInd w:w="648" w:type="dxa"/>
              <w:tblLayout w:type="fixed"/>
              <w:tblLook w:val="01E0" w:firstRow="1" w:lastRow="1" w:firstColumn="1" w:lastColumn="1" w:noHBand="0" w:noVBand="0"/>
            </w:tblPr>
            <w:tblGrid>
              <w:gridCol w:w="2073"/>
              <w:gridCol w:w="6819"/>
            </w:tblGrid>
            <w:tr>
              <w:tc>
                <w:tcPr>
                  <w:tcW w:w="2073" w:type="dxa"/>
                </w:tcPr>
                <w:p>
                  <w:pPr>
                    <w:tabs>
                      <w:tab w:val="left" w:pos="4500"/>
                      <w:tab w:val="left" w:leader="dot" w:pos="8460"/>
                    </w:tabs>
                  </w:pPr>
                  <w:r>
                    <w:t>Ministre / Administration :</w:t>
                  </w:r>
                </w:p>
              </w:tc>
              <w:tc>
                <w:tcPr>
                  <w:tcW w:w="6819" w:type="dxa"/>
                </w:tcPr>
                <w:p>
                  <w:pPr>
                    <w:tabs>
                      <w:tab w:val="left" w:pos="4500"/>
                      <w:tab w:val="left" w:leader="dot" w:pos="8460"/>
                    </w:tabs>
                    <w:rPr>
                      <w:color w:val="000000"/>
                    </w:rPr>
                  </w:pPr>
                  <w:r>
                    <w:rPr>
                      <w:color w:val="000000"/>
                    </w:rPr>
                    <w:t xml:space="preserve">Administration générale de l’Enseignement </w:t>
                  </w:r>
                </w:p>
                <w:p>
                  <w:pPr>
                    <w:tabs>
                      <w:tab w:val="left" w:pos="4500"/>
                      <w:tab w:val="left" w:leader="dot" w:pos="8460"/>
                    </w:tabs>
                    <w:rPr>
                      <w:color w:val="000000"/>
                    </w:rPr>
                  </w:pPr>
                  <w:r>
                    <w:rPr>
                      <w:color w:val="000000"/>
                    </w:rPr>
                    <w:t>Direction générale de l’enseignement obligatoire</w:t>
                  </w:r>
                </w:p>
                <w:p>
                  <w:pPr>
                    <w:tabs>
                      <w:tab w:val="left" w:pos="4500"/>
                      <w:tab w:val="left" w:leader="dot" w:pos="8460"/>
                    </w:tabs>
                    <w:rPr>
                      <w:color w:val="000000"/>
                    </w:rPr>
                  </w:pPr>
                  <w:r>
                    <w:rPr>
                      <w:color w:val="000000"/>
                    </w:rPr>
                    <w:t xml:space="preserve">Madame Anne Hellemans, Directrice générale </w:t>
                  </w:r>
                  <w:proofErr w:type="spellStart"/>
                  <w:r>
                    <w:rPr>
                      <w:color w:val="000000"/>
                    </w:rPr>
                    <w:t>a.i</w:t>
                  </w:r>
                  <w:proofErr w:type="spellEnd"/>
                  <w:r>
                    <w:rPr>
                      <w:color w:val="000000"/>
                    </w:rPr>
                    <w:t>.</w:t>
                  </w:r>
                </w:p>
              </w:tc>
            </w:tr>
          </w:tbl>
          <w:p>
            <w:pPr>
              <w:tabs>
                <w:tab w:val="left" w:pos="2700"/>
                <w:tab w:val="left" w:leader="dot" w:pos="9540"/>
              </w:tabs>
              <w:ind w:left="284"/>
            </w:pPr>
          </w:p>
          <w:p>
            <w:pPr>
              <w:shd w:val="clear" w:color="auto" w:fill="D9D9D9"/>
              <w:ind w:right="72"/>
            </w:pPr>
            <w:r>
              <w:rPr>
                <w:b/>
              </w:rPr>
              <w:t>Personnes de contact</w:t>
            </w:r>
          </w:p>
          <w:p>
            <w:pPr>
              <w:tabs>
                <w:tab w:val="left" w:pos="4500"/>
                <w:tab w:val="left" w:leader="dot" w:pos="8460"/>
              </w:tabs>
              <w:ind w:left="540"/>
              <w:rPr>
                <w:color w:val="000000"/>
              </w:rPr>
            </w:pPr>
            <w:r>
              <w:t>Service  o</w:t>
            </w:r>
            <w:r>
              <w:rPr>
                <w:color w:val="000000"/>
              </w:rPr>
              <w:t>u Association : Service général de l’enseignement secondaire et des Centres Psycho-Médico-Sociaux</w:t>
            </w:r>
          </w:p>
          <w:p>
            <w:pPr>
              <w:tabs>
                <w:tab w:val="left" w:pos="4500"/>
                <w:tab w:val="left" w:leader="dot" w:pos="8460"/>
              </w:tabs>
              <w:ind w:left="540"/>
            </w:pPr>
          </w:p>
          <w:p>
            <w:pPr>
              <w:tabs>
                <w:tab w:val="left" w:pos="4500"/>
                <w:tab w:val="left" w:leader="dot" w:pos="8460"/>
              </w:tabs>
              <w:ind w:left="540"/>
              <w:rPr>
                <w:color w:val="000000"/>
              </w:rPr>
            </w:pPr>
          </w:p>
          <w:p>
            <w:pPr>
              <w:ind w:left="284"/>
              <w:rPr>
                <w:b/>
              </w:rPr>
            </w:pPr>
            <w:r>
              <w:rPr>
                <w:color w:val="000000"/>
              </w:rPr>
              <w:t xml:space="preserve">Le nom et les coordonnées des différents correspondants sont communiqués à la page suivante. </w:t>
            </w:r>
          </w:p>
        </w:tc>
        <w:tc>
          <w:tcPr>
            <w:tcW w:w="540" w:type="dxa"/>
            <w:vMerge/>
            <w:tcBorders>
              <w:top w:val="nil"/>
              <w:left w:val="nil"/>
              <w:bottom w:val="nil"/>
              <w:right w:val="nil"/>
            </w:tcBorders>
          </w:tcPr>
          <w:p>
            <w:pPr>
              <w:tabs>
                <w:tab w:val="left" w:pos="1980"/>
                <w:tab w:val="left" w:pos="4500"/>
                <w:tab w:val="left" w:leader="dot" w:pos="8460"/>
              </w:tabs>
              <w:ind w:left="72"/>
              <w:rPr>
                <w:rFonts w:ascii="Verdana" w:hAnsi="Verdana"/>
                <w:sz w:val="18"/>
                <w:szCs w:val="18"/>
              </w:rPr>
            </w:pPr>
          </w:p>
        </w:tc>
      </w:tr>
    </w:tbl>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suppressAutoHyphens w:val="0"/>
        <w:spacing w:after="200" w:line="276" w:lineRule="auto"/>
        <w:rPr>
          <w:rFonts w:ascii="Book Antiqua" w:hAnsi="Book Antiqua"/>
          <w:b/>
          <w:spacing w:val="-2"/>
          <w:sz w:val="22"/>
          <w:szCs w:val="22"/>
          <w:u w:val="single"/>
          <w:lang w:val="fr-BE"/>
        </w:rPr>
      </w:pPr>
      <w:r>
        <w:rPr>
          <w:rFonts w:ascii="Book Antiqua" w:hAnsi="Book Antiqua"/>
          <w:b/>
          <w:spacing w:val="-2"/>
          <w:sz w:val="22"/>
          <w:szCs w:val="22"/>
          <w:u w:val="single"/>
          <w:lang w:val="fr-BE"/>
        </w:rPr>
        <w:br w:type="page"/>
      </w: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r>
        <w:rPr>
          <w:rFonts w:ascii="Book Antiqua" w:hAnsi="Book Antiqua"/>
          <w:b/>
          <w:spacing w:val="-2"/>
          <w:sz w:val="22"/>
          <w:szCs w:val="22"/>
          <w:u w:val="single"/>
          <w:lang w:val="fr-BE"/>
        </w:rPr>
        <w:t>Nom et coordonnées des différents correspondants</w:t>
      </w:r>
    </w:p>
    <w:p>
      <w:pPr>
        <w:tabs>
          <w:tab w:val="left" w:pos="-720"/>
        </w:tabs>
        <w:ind w:right="-188"/>
        <w:jc w:val="both"/>
        <w:rPr>
          <w:rFonts w:ascii="Book Antiqua" w:hAnsi="Book Antiqua"/>
          <w:spacing w:val="-2"/>
          <w:sz w:val="22"/>
          <w:szCs w:val="22"/>
          <w:lang w:val="fr-BE"/>
        </w:rPr>
      </w:pPr>
    </w:p>
    <w:p>
      <w:pPr>
        <w:tabs>
          <w:tab w:val="left" w:pos="-720"/>
        </w:tabs>
        <w:ind w:right="-188"/>
        <w:jc w:val="both"/>
        <w:rPr>
          <w:rFonts w:ascii="Book Antiqua" w:hAnsi="Book Antiqua"/>
          <w:spacing w:val="-2"/>
          <w:sz w:val="22"/>
          <w:szCs w:val="22"/>
          <w:lang w:val="fr-BE"/>
        </w:rPr>
      </w:pPr>
    </w:p>
    <w:p>
      <w:pPr>
        <w:pStyle w:val="Paragraphedeliste"/>
        <w:numPr>
          <w:ilvl w:val="0"/>
          <w:numId w:val="59"/>
        </w:numPr>
        <w:tabs>
          <w:tab w:val="left" w:pos="-720"/>
        </w:tabs>
        <w:ind w:right="-188"/>
        <w:jc w:val="both"/>
        <w:rPr>
          <w:rFonts w:ascii="Book Antiqua" w:hAnsi="Book Antiqua"/>
          <w:spacing w:val="-2"/>
          <w:sz w:val="22"/>
          <w:szCs w:val="22"/>
          <w:lang w:val="fr-BE"/>
        </w:rPr>
      </w:pPr>
      <w:r>
        <w:rPr>
          <w:rFonts w:ascii="Book Antiqua" w:hAnsi="Book Antiqua"/>
          <w:spacing w:val="-2"/>
          <w:sz w:val="22"/>
          <w:szCs w:val="22"/>
          <w:u w:val="single"/>
          <w:lang w:val="fr-BE"/>
        </w:rPr>
        <w:t>Pour toute question relative à l’organisation, aux structures et à l’encadrement :</w:t>
      </w:r>
    </w:p>
    <w:p>
      <w:pPr>
        <w:tabs>
          <w:tab w:val="left" w:pos="-720"/>
        </w:tabs>
        <w:ind w:right="-188"/>
        <w:jc w:val="both"/>
        <w:rPr>
          <w:rFonts w:ascii="Book Antiqua" w:hAnsi="Book Antiqua"/>
          <w:spacing w:val="-2"/>
          <w:sz w:val="22"/>
          <w:szCs w:val="22"/>
          <w:lang w:val="fr-BE"/>
        </w:rPr>
      </w:pPr>
    </w:p>
    <w:p>
      <w:pPr>
        <w:tabs>
          <w:tab w:val="left" w:pos="4500"/>
          <w:tab w:val="left" w:leader="dot" w:pos="8460"/>
        </w:tabs>
        <w:ind w:left="709"/>
        <w:jc w:val="both"/>
        <w:rPr>
          <w:rFonts w:ascii="Book Antiqua" w:hAnsi="Book Antiqua"/>
          <w:sz w:val="22"/>
          <w:szCs w:val="22"/>
        </w:rPr>
      </w:pPr>
      <w:r>
        <w:rPr>
          <w:rFonts w:ascii="Book Antiqua" w:hAnsi="Book Antiqua"/>
          <w:sz w:val="22"/>
          <w:szCs w:val="22"/>
          <w:u w:val="single"/>
        </w:rPr>
        <w:t>Gestionnaire</w:t>
      </w:r>
      <w:r>
        <w:rPr>
          <w:rFonts w:ascii="Book Antiqua" w:hAnsi="Book Antiqua"/>
          <w:sz w:val="22"/>
          <w:szCs w:val="22"/>
        </w:rPr>
        <w:t xml:space="preserve"> : Direction de l’organisation des établissements d’enseignement secondaire ordinaire organisés et subventionnés par </w:t>
      </w:r>
      <w:smartTag w:uri="urn:schemas-microsoft-com:office:smarttags" w:element="PersonName">
        <w:smartTagPr>
          <w:attr w:name="ProductID" w:val="la Fédération Wallonie-Bruxelles."/>
        </w:smartTagPr>
        <w:r>
          <w:rPr>
            <w:rFonts w:ascii="Book Antiqua" w:hAnsi="Book Antiqua"/>
            <w:sz w:val="22"/>
            <w:szCs w:val="22"/>
          </w:rPr>
          <w:t>la Fédération Wallonie-Bruxelles.</w:t>
        </w:r>
      </w:smartTag>
      <w:r>
        <w:rPr>
          <w:rFonts w:ascii="Book Antiqua" w:hAnsi="Book Antiqua"/>
          <w:sz w:val="22"/>
          <w:szCs w:val="22"/>
        </w:rPr>
        <w:t xml:space="preserve">  </w:t>
      </w:r>
    </w:p>
    <w:p>
      <w:pPr>
        <w:tabs>
          <w:tab w:val="left" w:pos="4500"/>
          <w:tab w:val="left" w:leader="dot" w:pos="8460"/>
        </w:tabs>
        <w:ind w:left="709"/>
        <w:jc w:val="both"/>
        <w:rPr>
          <w:rFonts w:ascii="Book Antiqua" w:hAnsi="Book Antiqua"/>
          <w:sz w:val="22"/>
          <w:szCs w:val="22"/>
        </w:rPr>
      </w:pPr>
    </w:p>
    <w:p>
      <w:pPr>
        <w:pBdr>
          <w:top w:val="single" w:sz="4" w:space="1" w:color="auto"/>
          <w:left w:val="single" w:sz="4" w:space="0" w:color="auto"/>
          <w:bottom w:val="single" w:sz="4" w:space="1" w:color="auto"/>
          <w:right w:val="single" w:sz="4" w:space="4" w:color="auto"/>
        </w:pBdr>
        <w:tabs>
          <w:tab w:val="left" w:pos="4500"/>
          <w:tab w:val="left" w:leader="dot" w:pos="8460"/>
        </w:tabs>
        <w:ind w:left="709"/>
        <w:jc w:val="both"/>
        <w:rPr>
          <w:rFonts w:ascii="Book Antiqua" w:hAnsi="Book Antiqua"/>
          <w:sz w:val="22"/>
          <w:szCs w:val="22"/>
        </w:rPr>
      </w:pPr>
      <w:r>
        <w:rPr>
          <w:rFonts w:ascii="Book Antiqua" w:hAnsi="Book Antiqua"/>
          <w:sz w:val="22"/>
          <w:szCs w:val="22"/>
        </w:rPr>
        <w:t xml:space="preserve">Monsieur Vincent </w:t>
      </w:r>
      <w:proofErr w:type="spellStart"/>
      <w:r>
        <w:rPr>
          <w:rFonts w:ascii="Book Antiqua" w:hAnsi="Book Antiqua"/>
          <w:sz w:val="22"/>
          <w:szCs w:val="22"/>
        </w:rPr>
        <w:t>Winkin</w:t>
      </w:r>
      <w:proofErr w:type="spellEnd"/>
    </w:p>
    <w:p>
      <w:pPr>
        <w:pBdr>
          <w:top w:val="single" w:sz="4" w:space="1" w:color="auto"/>
          <w:left w:val="single" w:sz="4" w:space="0" w:color="auto"/>
          <w:bottom w:val="single" w:sz="4" w:space="1" w:color="auto"/>
          <w:right w:val="single" w:sz="4" w:space="4" w:color="auto"/>
        </w:pBdr>
        <w:tabs>
          <w:tab w:val="left" w:pos="4500"/>
          <w:tab w:val="left" w:leader="dot" w:pos="8460"/>
        </w:tabs>
        <w:ind w:left="709"/>
        <w:jc w:val="both"/>
        <w:rPr>
          <w:rFonts w:ascii="Book Antiqua" w:hAnsi="Book Antiqua"/>
          <w:sz w:val="22"/>
          <w:szCs w:val="22"/>
        </w:rPr>
      </w:pPr>
      <w:r>
        <w:rPr>
          <w:rFonts w:ascii="Book Antiqua" w:hAnsi="Book Antiqua"/>
          <w:sz w:val="22"/>
          <w:szCs w:val="22"/>
        </w:rPr>
        <w:t xml:space="preserve">Chargé de mission, responsable de Direction – 02/690.86.06 – </w:t>
      </w:r>
      <w:bookmarkStart w:id="13" w:name="_GoBack"/>
      <w:r>
        <w:rPr>
          <w:rStyle w:val="Lienhypertexte"/>
          <w:sz w:val="22"/>
          <w:szCs w:val="22"/>
        </w:rPr>
        <w:fldChar w:fldCharType="begin"/>
      </w:r>
      <w:r>
        <w:rPr>
          <w:rStyle w:val="Lienhypertexte"/>
          <w:sz w:val="22"/>
          <w:szCs w:val="22"/>
        </w:rPr>
        <w:instrText xml:space="preserve"> HYPERLINK "mailto:vincent.winkin@cfwb.be" </w:instrText>
      </w:r>
      <w:r>
        <w:rPr>
          <w:rStyle w:val="Lienhypertexte"/>
          <w:sz w:val="22"/>
          <w:szCs w:val="22"/>
        </w:rPr>
        <w:fldChar w:fldCharType="separate"/>
      </w:r>
      <w:r>
        <w:rPr>
          <w:rStyle w:val="Lienhypertexte"/>
          <w:sz w:val="22"/>
          <w:szCs w:val="22"/>
        </w:rPr>
        <w:t>vincent.winkin@cfwb.be</w:t>
      </w:r>
      <w:r>
        <w:rPr>
          <w:rStyle w:val="Lienhypertexte"/>
          <w:sz w:val="22"/>
          <w:szCs w:val="22"/>
        </w:rPr>
        <w:fldChar w:fldCharType="end"/>
      </w:r>
      <w:bookmarkEnd w:id="13"/>
      <w:r>
        <w:rPr>
          <w:rFonts w:ascii="Book Antiqua" w:hAnsi="Book Antiqua"/>
          <w:sz w:val="22"/>
          <w:szCs w:val="22"/>
        </w:rPr>
        <w:t xml:space="preserve"> </w:t>
      </w:r>
    </w:p>
    <w:p>
      <w:pPr>
        <w:tabs>
          <w:tab w:val="left" w:pos="4500"/>
          <w:tab w:val="left" w:leader="dot" w:pos="8460"/>
        </w:tabs>
        <w:ind w:left="540"/>
        <w:rPr>
          <w:rFonts w:ascii="Book Antiqua" w:hAnsi="Book Antiqua"/>
          <w:spacing w:val="-2"/>
          <w:sz w:val="22"/>
          <w:szCs w:val="22"/>
          <w:lang w:val="fr-BE"/>
        </w:rPr>
      </w:pPr>
    </w:p>
    <w:p>
      <w:pPr>
        <w:tabs>
          <w:tab w:val="left" w:pos="4500"/>
          <w:tab w:val="left" w:leader="dot" w:pos="8460"/>
        </w:tabs>
        <w:ind w:left="709"/>
        <w:rPr>
          <w:rFonts w:ascii="Book Antiqua" w:hAnsi="Book Antiqua"/>
          <w:color w:val="000000"/>
          <w:sz w:val="22"/>
          <w:szCs w:val="22"/>
        </w:rPr>
      </w:pPr>
    </w:p>
    <w:tbl>
      <w:tblPr>
        <w:tblW w:w="9212"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2976"/>
        <w:gridCol w:w="3122"/>
      </w:tblGrid>
      <w:tr>
        <w:tc>
          <w:tcPr>
            <w:tcW w:w="3114" w:type="dxa"/>
          </w:tcPr>
          <w:p>
            <w:pPr>
              <w:tabs>
                <w:tab w:val="left" w:pos="4500"/>
                <w:tab w:val="left" w:leader="dot" w:pos="8460"/>
              </w:tabs>
              <w:rPr>
                <w:rFonts w:ascii="Book Antiqua" w:hAnsi="Book Antiqua"/>
                <w:b/>
                <w:i/>
                <w:color w:val="000000"/>
                <w:sz w:val="22"/>
                <w:szCs w:val="22"/>
              </w:rPr>
            </w:pPr>
            <w:r>
              <w:rPr>
                <w:rFonts w:ascii="Book Antiqua" w:hAnsi="Book Antiqua"/>
                <w:b/>
                <w:i/>
                <w:sz w:val="22"/>
                <w:szCs w:val="22"/>
              </w:rPr>
              <w:t>Nom et prénom </w:t>
            </w:r>
          </w:p>
        </w:tc>
        <w:tc>
          <w:tcPr>
            <w:tcW w:w="2976" w:type="dxa"/>
          </w:tcPr>
          <w:p>
            <w:pPr>
              <w:tabs>
                <w:tab w:val="left" w:pos="4500"/>
                <w:tab w:val="left" w:leader="dot" w:pos="8460"/>
              </w:tabs>
              <w:rPr>
                <w:rFonts w:ascii="Book Antiqua" w:hAnsi="Book Antiqua"/>
                <w:b/>
                <w:i/>
                <w:color w:val="000000"/>
                <w:sz w:val="22"/>
                <w:szCs w:val="22"/>
              </w:rPr>
            </w:pPr>
            <w:r>
              <w:rPr>
                <w:rFonts w:ascii="Book Antiqua" w:hAnsi="Book Antiqua"/>
                <w:b/>
                <w:i/>
                <w:sz w:val="22"/>
                <w:szCs w:val="22"/>
              </w:rPr>
              <w:t>Téléphone</w:t>
            </w:r>
          </w:p>
        </w:tc>
        <w:tc>
          <w:tcPr>
            <w:tcW w:w="3122" w:type="dxa"/>
          </w:tcPr>
          <w:p>
            <w:pPr>
              <w:tabs>
                <w:tab w:val="left" w:pos="4500"/>
                <w:tab w:val="left" w:leader="dot" w:pos="8460"/>
              </w:tabs>
              <w:rPr>
                <w:rFonts w:ascii="Book Antiqua" w:hAnsi="Book Antiqua"/>
                <w:b/>
                <w:i/>
                <w:color w:val="000000"/>
                <w:sz w:val="22"/>
                <w:szCs w:val="22"/>
              </w:rPr>
            </w:pPr>
            <w:r>
              <w:rPr>
                <w:rFonts w:ascii="Book Antiqua" w:hAnsi="Book Antiqua"/>
                <w:b/>
                <w:i/>
                <w:sz w:val="22"/>
                <w:szCs w:val="22"/>
              </w:rPr>
              <w:t>Courriel</w:t>
            </w:r>
          </w:p>
        </w:tc>
      </w:tr>
      <w:tr>
        <w:tc>
          <w:tcPr>
            <w:tcW w:w="3114"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 xml:space="preserve">Mme Christiane </w:t>
            </w:r>
            <w:proofErr w:type="spellStart"/>
            <w:r>
              <w:rPr>
                <w:rFonts w:ascii="Book Antiqua" w:hAnsi="Book Antiqua"/>
                <w:color w:val="000000"/>
                <w:sz w:val="22"/>
                <w:szCs w:val="22"/>
              </w:rPr>
              <w:t>Konen</w:t>
            </w:r>
            <w:proofErr w:type="spellEnd"/>
          </w:p>
        </w:tc>
        <w:tc>
          <w:tcPr>
            <w:tcW w:w="2976"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02/690.84.62</w:t>
            </w:r>
          </w:p>
        </w:tc>
        <w:tc>
          <w:tcPr>
            <w:tcW w:w="3122" w:type="dxa"/>
          </w:tcPr>
          <w:p>
            <w:pPr>
              <w:tabs>
                <w:tab w:val="left" w:pos="4500"/>
                <w:tab w:val="left" w:leader="dot" w:pos="8460"/>
              </w:tabs>
              <w:rPr>
                <w:rFonts w:ascii="Book Antiqua" w:hAnsi="Book Antiqua"/>
                <w:color w:val="000000"/>
                <w:sz w:val="22"/>
                <w:szCs w:val="22"/>
              </w:rPr>
            </w:pPr>
            <w:hyperlink r:id="rId10" w:history="1">
              <w:r>
                <w:rPr>
                  <w:rStyle w:val="Lienhypertexte"/>
                  <w:rFonts w:ascii="Book Antiqua" w:hAnsi="Book Antiqua"/>
                  <w:sz w:val="22"/>
                  <w:szCs w:val="22"/>
                </w:rPr>
                <w:t>christiane.konen@cfwb.be</w:t>
              </w:r>
            </w:hyperlink>
            <w:r>
              <w:rPr>
                <w:rFonts w:ascii="Book Antiqua" w:hAnsi="Book Antiqua"/>
                <w:color w:val="000000"/>
                <w:sz w:val="22"/>
                <w:szCs w:val="22"/>
              </w:rPr>
              <w:t xml:space="preserve"> </w:t>
            </w:r>
          </w:p>
        </w:tc>
      </w:tr>
      <w:tr>
        <w:tc>
          <w:tcPr>
            <w:tcW w:w="3114"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 xml:space="preserve">M. Miguel </w:t>
            </w:r>
            <w:proofErr w:type="spellStart"/>
            <w:r>
              <w:rPr>
                <w:rFonts w:ascii="Book Antiqua" w:hAnsi="Book Antiqua"/>
                <w:color w:val="000000"/>
                <w:sz w:val="22"/>
                <w:szCs w:val="22"/>
              </w:rPr>
              <w:t>Magerat</w:t>
            </w:r>
            <w:proofErr w:type="spellEnd"/>
          </w:p>
        </w:tc>
        <w:tc>
          <w:tcPr>
            <w:tcW w:w="2976"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02/690.84.51</w:t>
            </w:r>
          </w:p>
        </w:tc>
        <w:tc>
          <w:tcPr>
            <w:tcW w:w="3122" w:type="dxa"/>
          </w:tcPr>
          <w:p>
            <w:pPr>
              <w:tabs>
                <w:tab w:val="left" w:pos="4500"/>
                <w:tab w:val="left" w:leader="dot" w:pos="8460"/>
              </w:tabs>
              <w:rPr>
                <w:rFonts w:ascii="Book Antiqua" w:hAnsi="Book Antiqua"/>
                <w:color w:val="0000FF"/>
                <w:sz w:val="22"/>
                <w:szCs w:val="22"/>
                <w:u w:val="single"/>
              </w:rPr>
            </w:pPr>
            <w:hyperlink r:id="rId11" w:history="1">
              <w:r>
                <w:rPr>
                  <w:rStyle w:val="Lienhypertexte"/>
                  <w:rFonts w:ascii="Book Antiqua" w:hAnsi="Book Antiqua"/>
                  <w:sz w:val="22"/>
                  <w:szCs w:val="22"/>
                </w:rPr>
                <w:t>miguel.magerat@cfwb.be</w:t>
              </w:r>
            </w:hyperlink>
          </w:p>
        </w:tc>
      </w:tr>
      <w:tr>
        <w:tc>
          <w:tcPr>
            <w:tcW w:w="3114"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 xml:space="preserve">M. Michel </w:t>
            </w:r>
            <w:proofErr w:type="spellStart"/>
            <w:r>
              <w:rPr>
                <w:rFonts w:ascii="Book Antiqua" w:hAnsi="Book Antiqua"/>
                <w:color w:val="000000"/>
                <w:sz w:val="22"/>
                <w:szCs w:val="22"/>
              </w:rPr>
              <w:t>Dury</w:t>
            </w:r>
            <w:proofErr w:type="spellEnd"/>
          </w:p>
        </w:tc>
        <w:tc>
          <w:tcPr>
            <w:tcW w:w="2976"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02/690.84.55</w:t>
            </w:r>
          </w:p>
        </w:tc>
        <w:tc>
          <w:tcPr>
            <w:tcW w:w="3122" w:type="dxa"/>
          </w:tcPr>
          <w:p>
            <w:pPr>
              <w:tabs>
                <w:tab w:val="left" w:pos="4500"/>
                <w:tab w:val="left" w:leader="dot" w:pos="8460"/>
              </w:tabs>
            </w:pPr>
            <w:hyperlink r:id="rId12" w:history="1">
              <w:r>
                <w:rPr>
                  <w:rStyle w:val="Lienhypertexte"/>
                  <w:rFonts w:ascii="Book Antiqua" w:hAnsi="Book Antiqua"/>
                  <w:sz w:val="22"/>
                  <w:szCs w:val="22"/>
                </w:rPr>
                <w:t>michel.dury@cfwb.be</w:t>
              </w:r>
            </w:hyperlink>
            <w:r>
              <w:rPr>
                <w:rFonts w:ascii="Book Antiqua" w:hAnsi="Book Antiqua"/>
                <w:color w:val="000000"/>
                <w:sz w:val="22"/>
                <w:szCs w:val="22"/>
              </w:rPr>
              <w:t xml:space="preserve"> </w:t>
            </w:r>
          </w:p>
        </w:tc>
      </w:tr>
      <w:tr>
        <w:tc>
          <w:tcPr>
            <w:tcW w:w="3114"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 xml:space="preserve">M. Sylvain </w:t>
            </w:r>
            <w:proofErr w:type="spellStart"/>
            <w:r>
              <w:rPr>
                <w:rFonts w:ascii="Book Antiqua" w:hAnsi="Book Antiqua"/>
                <w:color w:val="000000"/>
                <w:sz w:val="22"/>
                <w:szCs w:val="22"/>
              </w:rPr>
              <w:t>Dubucq</w:t>
            </w:r>
            <w:proofErr w:type="spellEnd"/>
          </w:p>
        </w:tc>
        <w:tc>
          <w:tcPr>
            <w:tcW w:w="2976"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02/690.83.40</w:t>
            </w:r>
          </w:p>
        </w:tc>
        <w:tc>
          <w:tcPr>
            <w:tcW w:w="3122" w:type="dxa"/>
          </w:tcPr>
          <w:p>
            <w:pPr>
              <w:tabs>
                <w:tab w:val="left" w:pos="4500"/>
                <w:tab w:val="left" w:leader="dot" w:pos="8460"/>
              </w:tabs>
            </w:pPr>
            <w:hyperlink r:id="rId13" w:history="1">
              <w:r>
                <w:rPr>
                  <w:rStyle w:val="Lienhypertexte"/>
                  <w:rFonts w:ascii="Book Antiqua" w:hAnsi="Book Antiqua"/>
                  <w:sz w:val="22"/>
                  <w:szCs w:val="22"/>
                </w:rPr>
                <w:t>sylvain.dubucq@cfwb.be</w:t>
              </w:r>
            </w:hyperlink>
            <w:r>
              <w:rPr>
                <w:rFonts w:ascii="Book Antiqua" w:hAnsi="Book Antiqua"/>
                <w:color w:val="000000"/>
                <w:sz w:val="22"/>
                <w:szCs w:val="22"/>
              </w:rPr>
              <w:t xml:space="preserve"> </w:t>
            </w:r>
          </w:p>
        </w:tc>
      </w:tr>
      <w:tr>
        <w:tc>
          <w:tcPr>
            <w:tcW w:w="3114"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 xml:space="preserve">M. Philippe </w:t>
            </w:r>
            <w:proofErr w:type="spellStart"/>
            <w:r>
              <w:rPr>
                <w:rFonts w:ascii="Book Antiqua" w:hAnsi="Book Antiqua"/>
                <w:color w:val="000000"/>
                <w:sz w:val="22"/>
                <w:szCs w:val="22"/>
              </w:rPr>
              <w:t>Plun</w:t>
            </w:r>
            <w:proofErr w:type="spellEnd"/>
          </w:p>
        </w:tc>
        <w:tc>
          <w:tcPr>
            <w:tcW w:w="2976"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02/690.84.63</w:t>
            </w:r>
          </w:p>
        </w:tc>
        <w:tc>
          <w:tcPr>
            <w:tcW w:w="3122" w:type="dxa"/>
          </w:tcPr>
          <w:p>
            <w:pPr>
              <w:tabs>
                <w:tab w:val="left" w:pos="4500"/>
                <w:tab w:val="left" w:leader="dot" w:pos="8460"/>
              </w:tabs>
            </w:pPr>
            <w:r>
              <w:rPr>
                <w:rStyle w:val="Lienhypertexte"/>
                <w:rFonts w:ascii="Book Antiqua" w:hAnsi="Book Antiqua"/>
                <w:sz w:val="22"/>
                <w:szCs w:val="22"/>
              </w:rPr>
              <w:t>philippe.plun@cfwb.be</w:t>
            </w:r>
          </w:p>
        </w:tc>
      </w:tr>
    </w:tbl>
    <w:p>
      <w:pPr>
        <w:tabs>
          <w:tab w:val="left" w:pos="4500"/>
          <w:tab w:val="left" w:leader="dot" w:pos="8460"/>
        </w:tabs>
        <w:rPr>
          <w:rFonts w:ascii="Book Antiqua" w:hAnsi="Book Antiqua"/>
          <w:color w:val="000000"/>
          <w:sz w:val="22"/>
          <w:szCs w:val="22"/>
        </w:rPr>
      </w:pPr>
    </w:p>
    <w:p>
      <w:pPr>
        <w:tabs>
          <w:tab w:val="left" w:pos="-720"/>
        </w:tabs>
        <w:ind w:right="-188"/>
        <w:jc w:val="both"/>
        <w:rPr>
          <w:rFonts w:ascii="Book Antiqua" w:hAnsi="Book Antiqua"/>
          <w:spacing w:val="-2"/>
          <w:sz w:val="22"/>
          <w:szCs w:val="22"/>
          <w:u w:val="single"/>
          <w:lang w:val="fr-BE"/>
        </w:rPr>
      </w:pPr>
    </w:p>
    <w:p>
      <w:pPr>
        <w:tabs>
          <w:tab w:val="left" w:pos="-720"/>
        </w:tabs>
        <w:ind w:right="-188"/>
        <w:jc w:val="both"/>
        <w:rPr>
          <w:rFonts w:ascii="Book Antiqua" w:hAnsi="Book Antiqua"/>
          <w:spacing w:val="-2"/>
          <w:sz w:val="22"/>
          <w:szCs w:val="22"/>
          <w:u w:val="single"/>
          <w:lang w:val="fr-BE"/>
        </w:rPr>
      </w:pPr>
    </w:p>
    <w:p>
      <w:pPr>
        <w:pStyle w:val="Paragraphedeliste"/>
        <w:numPr>
          <w:ilvl w:val="0"/>
          <w:numId w:val="59"/>
        </w:numPr>
        <w:tabs>
          <w:tab w:val="left" w:pos="-720"/>
        </w:tabs>
        <w:ind w:right="-188"/>
        <w:jc w:val="both"/>
        <w:rPr>
          <w:rFonts w:ascii="Book Antiqua" w:hAnsi="Book Antiqua"/>
          <w:spacing w:val="-2"/>
          <w:sz w:val="22"/>
          <w:szCs w:val="22"/>
          <w:u w:val="single"/>
          <w:lang w:val="fr-BE"/>
        </w:rPr>
      </w:pPr>
      <w:r>
        <w:rPr>
          <w:rFonts w:ascii="Book Antiqua" w:hAnsi="Book Antiqua"/>
          <w:spacing w:val="-2"/>
          <w:sz w:val="22"/>
          <w:szCs w:val="22"/>
          <w:u w:val="single"/>
          <w:lang w:val="fr-BE"/>
        </w:rPr>
        <w:t>Pour toute question relative à la sanction des études</w:t>
      </w:r>
    </w:p>
    <w:p>
      <w:pPr>
        <w:tabs>
          <w:tab w:val="left" w:pos="-720"/>
        </w:tabs>
        <w:ind w:right="-188"/>
        <w:jc w:val="both"/>
        <w:rPr>
          <w:rFonts w:ascii="Book Antiqua" w:hAnsi="Book Antiqua"/>
          <w:spacing w:val="-2"/>
          <w:sz w:val="22"/>
          <w:szCs w:val="22"/>
          <w:lang w:val="fr-BE"/>
        </w:rPr>
      </w:pPr>
    </w:p>
    <w:p>
      <w:pPr>
        <w:tabs>
          <w:tab w:val="left" w:pos="-720"/>
        </w:tabs>
        <w:ind w:right="-188"/>
        <w:jc w:val="both"/>
        <w:rPr>
          <w:rFonts w:ascii="Book Antiqua" w:hAnsi="Book Antiqua"/>
          <w:spacing w:val="-2"/>
          <w:sz w:val="22"/>
          <w:szCs w:val="22"/>
          <w:lang w:val="fr-BE"/>
        </w:rPr>
      </w:pPr>
    </w:p>
    <w:tbl>
      <w:tblPr>
        <w:tblW w:w="9212"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976"/>
        <w:gridCol w:w="3122"/>
      </w:tblGrid>
      <w:tr>
        <w:tc>
          <w:tcPr>
            <w:tcW w:w="3114" w:type="dxa"/>
          </w:tcPr>
          <w:p>
            <w:pPr>
              <w:tabs>
                <w:tab w:val="left" w:pos="-720"/>
              </w:tabs>
              <w:ind w:right="-188"/>
              <w:jc w:val="both"/>
              <w:rPr>
                <w:rFonts w:ascii="Book Antiqua" w:hAnsi="Book Antiqua"/>
                <w:b/>
                <w:i/>
                <w:spacing w:val="-2"/>
                <w:sz w:val="22"/>
                <w:szCs w:val="22"/>
                <w:lang w:val="fr-BE"/>
              </w:rPr>
            </w:pPr>
            <w:r>
              <w:rPr>
                <w:rFonts w:ascii="Book Antiqua" w:hAnsi="Book Antiqua"/>
                <w:b/>
                <w:i/>
                <w:sz w:val="22"/>
                <w:szCs w:val="22"/>
              </w:rPr>
              <w:t>Nom et prénom </w:t>
            </w:r>
          </w:p>
        </w:tc>
        <w:tc>
          <w:tcPr>
            <w:tcW w:w="2976" w:type="dxa"/>
          </w:tcPr>
          <w:p>
            <w:pPr>
              <w:tabs>
                <w:tab w:val="left" w:pos="-720"/>
              </w:tabs>
              <w:ind w:right="-188"/>
              <w:jc w:val="both"/>
              <w:rPr>
                <w:rFonts w:ascii="Book Antiqua" w:hAnsi="Book Antiqua"/>
                <w:b/>
                <w:i/>
                <w:spacing w:val="-2"/>
                <w:sz w:val="22"/>
                <w:szCs w:val="22"/>
                <w:lang w:val="fr-BE"/>
              </w:rPr>
            </w:pPr>
            <w:r>
              <w:rPr>
                <w:rFonts w:ascii="Book Antiqua" w:hAnsi="Book Antiqua"/>
                <w:b/>
                <w:i/>
                <w:sz w:val="22"/>
                <w:szCs w:val="22"/>
              </w:rPr>
              <w:t>Téléphone</w:t>
            </w:r>
          </w:p>
        </w:tc>
        <w:tc>
          <w:tcPr>
            <w:tcW w:w="3122" w:type="dxa"/>
          </w:tcPr>
          <w:p>
            <w:pPr>
              <w:tabs>
                <w:tab w:val="left" w:pos="-720"/>
              </w:tabs>
              <w:ind w:right="-188"/>
              <w:jc w:val="both"/>
              <w:rPr>
                <w:rFonts w:ascii="Book Antiqua" w:hAnsi="Book Antiqua"/>
                <w:b/>
                <w:i/>
                <w:spacing w:val="-2"/>
                <w:sz w:val="22"/>
                <w:szCs w:val="22"/>
                <w:lang w:val="fr-BE"/>
              </w:rPr>
            </w:pPr>
            <w:r>
              <w:rPr>
                <w:rFonts w:ascii="Book Antiqua" w:hAnsi="Book Antiqua"/>
                <w:b/>
                <w:i/>
                <w:sz w:val="22"/>
                <w:szCs w:val="22"/>
              </w:rPr>
              <w:t>Courriel</w:t>
            </w:r>
          </w:p>
        </w:tc>
      </w:tr>
      <w:tr>
        <w:tc>
          <w:tcPr>
            <w:tcW w:w="3114" w:type="dxa"/>
          </w:tcPr>
          <w:p>
            <w:pPr>
              <w:tabs>
                <w:tab w:val="left" w:pos="-720"/>
              </w:tabs>
              <w:ind w:right="-188"/>
              <w:jc w:val="both"/>
              <w:rPr>
                <w:rFonts w:ascii="Book Antiqua" w:hAnsi="Book Antiqua"/>
                <w:spacing w:val="-2"/>
                <w:sz w:val="22"/>
                <w:szCs w:val="22"/>
                <w:lang w:val="fr-BE"/>
              </w:rPr>
            </w:pPr>
            <w:r>
              <w:rPr>
                <w:rFonts w:ascii="Book Antiqua" w:hAnsi="Book Antiqua"/>
                <w:spacing w:val="-2"/>
                <w:sz w:val="22"/>
                <w:szCs w:val="22"/>
                <w:lang w:val="fr-BE"/>
              </w:rPr>
              <w:t xml:space="preserve">Mme Pauline Van  </w:t>
            </w:r>
            <w:proofErr w:type="spellStart"/>
            <w:r>
              <w:rPr>
                <w:rFonts w:ascii="Book Antiqua" w:hAnsi="Book Antiqua"/>
                <w:spacing w:val="-2"/>
                <w:sz w:val="22"/>
                <w:szCs w:val="22"/>
                <w:lang w:val="fr-BE"/>
              </w:rPr>
              <w:t>Hulle</w:t>
            </w:r>
            <w:proofErr w:type="spellEnd"/>
          </w:p>
        </w:tc>
        <w:tc>
          <w:tcPr>
            <w:tcW w:w="2976" w:type="dxa"/>
          </w:tcPr>
          <w:p>
            <w:pPr>
              <w:tabs>
                <w:tab w:val="left" w:pos="-720"/>
              </w:tabs>
              <w:ind w:right="-188"/>
              <w:jc w:val="both"/>
              <w:rPr>
                <w:rFonts w:ascii="Book Antiqua" w:hAnsi="Book Antiqua"/>
                <w:spacing w:val="-2"/>
                <w:sz w:val="22"/>
                <w:szCs w:val="22"/>
                <w:lang w:val="fr-BE"/>
              </w:rPr>
            </w:pPr>
            <w:r>
              <w:rPr>
                <w:rFonts w:ascii="Book Antiqua" w:hAnsi="Book Antiqua"/>
                <w:spacing w:val="-2"/>
                <w:sz w:val="22"/>
                <w:szCs w:val="22"/>
                <w:lang w:val="fr-BE"/>
              </w:rPr>
              <w:t>02/690.87.65</w:t>
            </w:r>
          </w:p>
        </w:tc>
        <w:tc>
          <w:tcPr>
            <w:tcW w:w="3122" w:type="dxa"/>
          </w:tcPr>
          <w:p>
            <w:pPr>
              <w:tabs>
                <w:tab w:val="left" w:pos="-720"/>
              </w:tabs>
              <w:ind w:right="-188"/>
              <w:jc w:val="both"/>
              <w:rPr>
                <w:rFonts w:ascii="Book Antiqua" w:hAnsi="Book Antiqua"/>
                <w:spacing w:val="-2"/>
                <w:sz w:val="24"/>
                <w:szCs w:val="24"/>
                <w:lang w:val="fr-BE"/>
              </w:rPr>
            </w:pPr>
            <w:hyperlink r:id="rId14" w:history="1">
              <w:r>
                <w:rPr>
                  <w:rStyle w:val="Lienhypertexte"/>
                  <w:sz w:val="24"/>
                  <w:szCs w:val="24"/>
                </w:rPr>
                <w:t>pauline.vanhulle@cfwb.be</w:t>
              </w:r>
            </w:hyperlink>
            <w:r>
              <w:rPr>
                <w:rFonts w:ascii="Book Antiqua" w:hAnsi="Book Antiqua"/>
                <w:spacing w:val="-2"/>
                <w:sz w:val="24"/>
                <w:szCs w:val="24"/>
                <w:lang w:val="fr-BE"/>
              </w:rPr>
              <w:t xml:space="preserve"> </w:t>
            </w:r>
          </w:p>
        </w:tc>
      </w:tr>
      <w:tr>
        <w:tc>
          <w:tcPr>
            <w:tcW w:w="3114" w:type="dxa"/>
          </w:tcPr>
          <w:p>
            <w:pPr>
              <w:tabs>
                <w:tab w:val="left" w:pos="-720"/>
              </w:tabs>
              <w:ind w:right="-188"/>
              <w:jc w:val="both"/>
              <w:rPr>
                <w:rFonts w:ascii="Book Antiqua" w:hAnsi="Book Antiqua"/>
                <w:spacing w:val="-2"/>
                <w:sz w:val="22"/>
                <w:szCs w:val="22"/>
                <w:lang w:val="fr-BE"/>
              </w:rPr>
            </w:pPr>
            <w:r>
              <w:rPr>
                <w:rFonts w:ascii="Book Antiqua" w:hAnsi="Book Antiqua"/>
                <w:spacing w:val="-2"/>
                <w:sz w:val="22"/>
                <w:szCs w:val="22"/>
                <w:lang w:val="fr-BE"/>
              </w:rPr>
              <w:t>Mme Gaëtane Dupont</w:t>
            </w:r>
          </w:p>
        </w:tc>
        <w:tc>
          <w:tcPr>
            <w:tcW w:w="2976" w:type="dxa"/>
          </w:tcPr>
          <w:p>
            <w:pPr>
              <w:tabs>
                <w:tab w:val="left" w:pos="-720"/>
              </w:tabs>
              <w:ind w:right="-188"/>
              <w:jc w:val="both"/>
              <w:rPr>
                <w:rFonts w:ascii="Book Antiqua" w:hAnsi="Book Antiqua"/>
                <w:spacing w:val="-2"/>
                <w:sz w:val="22"/>
                <w:szCs w:val="22"/>
                <w:lang w:val="fr-BE"/>
              </w:rPr>
            </w:pPr>
            <w:r>
              <w:rPr>
                <w:rFonts w:ascii="Book Antiqua" w:hAnsi="Book Antiqua"/>
                <w:spacing w:val="-2"/>
                <w:sz w:val="22"/>
                <w:szCs w:val="22"/>
                <w:lang w:val="fr-BE"/>
              </w:rPr>
              <w:t>02/690.86.64</w:t>
            </w:r>
          </w:p>
        </w:tc>
        <w:tc>
          <w:tcPr>
            <w:tcW w:w="3122" w:type="dxa"/>
          </w:tcPr>
          <w:p>
            <w:pPr>
              <w:tabs>
                <w:tab w:val="left" w:pos="-720"/>
              </w:tabs>
              <w:ind w:right="-188"/>
              <w:jc w:val="both"/>
            </w:pPr>
            <w:hyperlink r:id="rId15" w:history="1">
              <w:r>
                <w:rPr>
                  <w:rStyle w:val="Lienhypertexte"/>
                  <w:sz w:val="24"/>
                  <w:szCs w:val="24"/>
                  <w:u w:val="none"/>
                </w:rPr>
                <w:t>gaetane.dupont@cfwb.be</w:t>
              </w:r>
            </w:hyperlink>
            <w:r>
              <w:rPr>
                <w:rStyle w:val="Lienhypertexte"/>
                <w:sz w:val="24"/>
                <w:szCs w:val="24"/>
                <w:u w:val="none"/>
              </w:rPr>
              <w:t xml:space="preserve"> </w:t>
            </w:r>
          </w:p>
        </w:tc>
      </w:tr>
    </w:tbl>
    <w:p>
      <w:pPr>
        <w:pStyle w:val="TM1"/>
        <w:tabs>
          <w:tab w:val="right" w:leader="underscore" w:pos="9487"/>
        </w:tabs>
        <w:ind w:left="709"/>
      </w:pPr>
    </w:p>
    <w:p>
      <w:pPr>
        <w:pStyle w:val="TM1"/>
        <w:pageBreakBefore/>
        <w:tabs>
          <w:tab w:val="right" w:leader="dot" w:pos="9496"/>
        </w:tabs>
        <w:ind w:left="709"/>
        <w:rPr>
          <w:sz w:val="40"/>
          <w:szCs w:val="40"/>
          <w:u w:val="single"/>
        </w:rPr>
      </w:pPr>
    </w:p>
    <w:p>
      <w:pPr>
        <w:pStyle w:val="TM1"/>
        <w:pageBreakBefore/>
        <w:tabs>
          <w:tab w:val="right" w:leader="dot" w:pos="9496"/>
        </w:tabs>
        <w:ind w:left="709"/>
        <w:rPr>
          <w:sz w:val="40"/>
          <w:szCs w:val="40"/>
          <w:u w:val="single"/>
        </w:rPr>
      </w:pPr>
      <w:r>
        <w:rPr>
          <w:sz w:val="40"/>
          <w:szCs w:val="40"/>
          <w:u w:val="single"/>
        </w:rPr>
        <w:lastRenderedPageBreak/>
        <w:t>Table des matières</w:t>
      </w:r>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r>
        <w:rPr>
          <w:i w:val="0"/>
          <w:iCs w:val="0"/>
          <w:caps/>
        </w:rPr>
        <w:fldChar w:fldCharType="begin"/>
      </w:r>
      <w:r>
        <w:rPr>
          <w:i w:val="0"/>
          <w:iCs w:val="0"/>
          <w:caps/>
        </w:rPr>
        <w:instrText xml:space="preserve"> TOC \h \z \t "niveau 2;1;niveau 3;2;niveau 4;3" </w:instrText>
      </w:r>
      <w:r>
        <w:rPr>
          <w:i w:val="0"/>
          <w:iCs w:val="0"/>
          <w:caps/>
        </w:rPr>
        <w:fldChar w:fldCharType="separate"/>
      </w:r>
      <w:hyperlink w:anchor="_Toc522700740" w:history="1">
        <w:r>
          <w:rPr>
            <w:rStyle w:val="Lienhypertexte"/>
            <w:noProof/>
          </w:rPr>
          <w:t>CHAPITRE I : STRUCTURE DE L’ENSEIGNEMENT SECONDAIRE EN ALTERNANCE</w:t>
        </w:r>
        <w:r>
          <w:rPr>
            <w:noProof/>
            <w:webHidden/>
          </w:rPr>
          <w:tab/>
        </w:r>
        <w:r>
          <w:rPr>
            <w:noProof/>
            <w:webHidden/>
          </w:rPr>
          <w:fldChar w:fldCharType="begin"/>
        </w:r>
        <w:r>
          <w:rPr>
            <w:noProof/>
            <w:webHidden/>
          </w:rPr>
          <w:instrText xml:space="preserve"> PAGEREF _Toc522700740 \h </w:instrText>
        </w:r>
        <w:r>
          <w:rPr>
            <w:noProof/>
            <w:webHidden/>
          </w:rPr>
        </w:r>
        <w:r>
          <w:rPr>
            <w:noProof/>
            <w:webHidden/>
          </w:rPr>
          <w:fldChar w:fldCharType="separate"/>
        </w:r>
        <w:r>
          <w:rPr>
            <w:noProof/>
            <w:webHidden/>
          </w:rPr>
          <w:t>13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41" w:history="1">
        <w:r>
          <w:rPr>
            <w:rStyle w:val="Lienhypertexte"/>
            <w:noProof/>
          </w:rPr>
          <w:t>I. Centre d’éducation et de formation en alternance (CEFA)</w:t>
        </w:r>
        <w:r>
          <w:rPr>
            <w:noProof/>
            <w:webHidden/>
          </w:rPr>
          <w:tab/>
        </w:r>
        <w:r>
          <w:rPr>
            <w:noProof/>
            <w:webHidden/>
          </w:rPr>
          <w:fldChar w:fldCharType="begin"/>
        </w:r>
        <w:r>
          <w:rPr>
            <w:noProof/>
            <w:webHidden/>
          </w:rPr>
          <w:instrText xml:space="preserve"> PAGEREF _Toc522700741 \h </w:instrText>
        </w:r>
        <w:r>
          <w:rPr>
            <w:noProof/>
            <w:webHidden/>
          </w:rPr>
        </w:r>
        <w:r>
          <w:rPr>
            <w:noProof/>
            <w:webHidden/>
          </w:rPr>
          <w:fldChar w:fldCharType="separate"/>
        </w:r>
        <w:r>
          <w:rPr>
            <w:noProof/>
            <w:webHidden/>
          </w:rPr>
          <w:t>13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42" w:history="1">
        <w:r>
          <w:rPr>
            <w:rStyle w:val="Lienhypertexte"/>
            <w:noProof/>
          </w:rPr>
          <w:t xml:space="preserve">1. L’enseignement secondaire en alternance </w:t>
        </w:r>
        <w:r>
          <w:rPr>
            <w:noProof/>
            <w:webHidden/>
          </w:rPr>
          <w:tab/>
        </w:r>
        <w:r>
          <w:rPr>
            <w:noProof/>
            <w:webHidden/>
          </w:rPr>
          <w:fldChar w:fldCharType="begin"/>
        </w:r>
        <w:r>
          <w:rPr>
            <w:noProof/>
            <w:webHidden/>
          </w:rPr>
          <w:instrText xml:space="preserve"> PAGEREF _Toc522700742 \h </w:instrText>
        </w:r>
        <w:r>
          <w:rPr>
            <w:noProof/>
            <w:webHidden/>
          </w:rPr>
        </w:r>
        <w:r>
          <w:rPr>
            <w:noProof/>
            <w:webHidden/>
          </w:rPr>
          <w:fldChar w:fldCharType="separate"/>
        </w:r>
        <w:r>
          <w:rPr>
            <w:noProof/>
            <w:webHidden/>
          </w:rPr>
          <w:t>13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43" w:history="1">
        <w:r>
          <w:rPr>
            <w:rStyle w:val="Lienhypertexte"/>
            <w:noProof/>
          </w:rPr>
          <w:t>2. Le CEFA</w:t>
        </w:r>
        <w:r>
          <w:rPr>
            <w:noProof/>
            <w:webHidden/>
          </w:rPr>
          <w:tab/>
        </w:r>
        <w:r>
          <w:rPr>
            <w:noProof/>
            <w:webHidden/>
          </w:rPr>
          <w:fldChar w:fldCharType="begin"/>
        </w:r>
        <w:r>
          <w:rPr>
            <w:noProof/>
            <w:webHidden/>
          </w:rPr>
          <w:instrText xml:space="preserve"> PAGEREF _Toc522700743 \h </w:instrText>
        </w:r>
        <w:r>
          <w:rPr>
            <w:noProof/>
            <w:webHidden/>
          </w:rPr>
        </w:r>
        <w:r>
          <w:rPr>
            <w:noProof/>
            <w:webHidden/>
          </w:rPr>
          <w:fldChar w:fldCharType="separate"/>
        </w:r>
        <w:r>
          <w:rPr>
            <w:noProof/>
            <w:webHidden/>
          </w:rPr>
          <w:t>13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44" w:history="1">
        <w:r>
          <w:rPr>
            <w:rStyle w:val="Lienhypertexte"/>
            <w:noProof/>
          </w:rPr>
          <w:t xml:space="preserve">3. La création d’un CEFA </w:t>
        </w:r>
        <w:r>
          <w:rPr>
            <w:noProof/>
            <w:webHidden/>
          </w:rPr>
          <w:tab/>
        </w:r>
        <w:r>
          <w:rPr>
            <w:noProof/>
            <w:webHidden/>
          </w:rPr>
          <w:fldChar w:fldCharType="begin"/>
        </w:r>
        <w:r>
          <w:rPr>
            <w:noProof/>
            <w:webHidden/>
          </w:rPr>
          <w:instrText xml:space="preserve"> PAGEREF _Toc522700744 \h </w:instrText>
        </w:r>
        <w:r>
          <w:rPr>
            <w:noProof/>
            <w:webHidden/>
          </w:rPr>
        </w:r>
        <w:r>
          <w:rPr>
            <w:noProof/>
            <w:webHidden/>
          </w:rPr>
          <w:fldChar w:fldCharType="separate"/>
        </w:r>
        <w:r>
          <w:rPr>
            <w:noProof/>
            <w:webHidden/>
          </w:rPr>
          <w:t>13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45" w:history="1">
        <w:r>
          <w:rPr>
            <w:rStyle w:val="Lienhypertexte"/>
            <w:noProof/>
          </w:rPr>
          <w:t xml:space="preserve">4. Le maintien d’un CEFA </w:t>
        </w:r>
        <w:r>
          <w:rPr>
            <w:noProof/>
            <w:webHidden/>
          </w:rPr>
          <w:tab/>
        </w:r>
        <w:r>
          <w:rPr>
            <w:noProof/>
            <w:webHidden/>
          </w:rPr>
          <w:fldChar w:fldCharType="begin"/>
        </w:r>
        <w:r>
          <w:rPr>
            <w:noProof/>
            <w:webHidden/>
          </w:rPr>
          <w:instrText xml:space="preserve"> PAGEREF _Toc522700745 \h </w:instrText>
        </w:r>
        <w:r>
          <w:rPr>
            <w:noProof/>
            <w:webHidden/>
          </w:rPr>
        </w:r>
        <w:r>
          <w:rPr>
            <w:noProof/>
            <w:webHidden/>
          </w:rPr>
          <w:fldChar w:fldCharType="separate"/>
        </w:r>
        <w:r>
          <w:rPr>
            <w:noProof/>
            <w:webHidden/>
          </w:rPr>
          <w:t>14</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46" w:history="1">
        <w:r>
          <w:rPr>
            <w:rStyle w:val="Lienhypertexte"/>
            <w:noProof/>
          </w:rPr>
          <w:t>II. Etablissement coopérant</w:t>
        </w:r>
        <w:r>
          <w:rPr>
            <w:noProof/>
            <w:webHidden/>
          </w:rPr>
          <w:tab/>
        </w:r>
        <w:r>
          <w:rPr>
            <w:noProof/>
            <w:webHidden/>
          </w:rPr>
          <w:fldChar w:fldCharType="begin"/>
        </w:r>
        <w:r>
          <w:rPr>
            <w:noProof/>
            <w:webHidden/>
          </w:rPr>
          <w:instrText xml:space="preserve"> PAGEREF _Toc522700746 \h </w:instrText>
        </w:r>
        <w:r>
          <w:rPr>
            <w:noProof/>
            <w:webHidden/>
          </w:rPr>
        </w:r>
        <w:r>
          <w:rPr>
            <w:noProof/>
            <w:webHidden/>
          </w:rPr>
          <w:fldChar w:fldCharType="separate"/>
        </w:r>
        <w:r>
          <w:rPr>
            <w:noProof/>
            <w:webHidden/>
          </w:rPr>
          <w:t>14</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47" w:history="1">
        <w:r>
          <w:rPr>
            <w:rStyle w:val="Lienhypertexte"/>
            <w:noProof/>
          </w:rPr>
          <w:t>1. Notion</w:t>
        </w:r>
        <w:r>
          <w:rPr>
            <w:noProof/>
            <w:webHidden/>
          </w:rPr>
          <w:tab/>
        </w:r>
        <w:r>
          <w:rPr>
            <w:noProof/>
            <w:webHidden/>
          </w:rPr>
          <w:fldChar w:fldCharType="begin"/>
        </w:r>
        <w:r>
          <w:rPr>
            <w:noProof/>
            <w:webHidden/>
          </w:rPr>
          <w:instrText xml:space="preserve"> PAGEREF _Toc522700747 \h </w:instrText>
        </w:r>
        <w:r>
          <w:rPr>
            <w:noProof/>
            <w:webHidden/>
          </w:rPr>
        </w:r>
        <w:r>
          <w:rPr>
            <w:noProof/>
            <w:webHidden/>
          </w:rPr>
          <w:fldChar w:fldCharType="separate"/>
        </w:r>
        <w:r>
          <w:rPr>
            <w:noProof/>
            <w:webHidden/>
          </w:rPr>
          <w:t>14</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48" w:history="1">
        <w:r>
          <w:rPr>
            <w:rStyle w:val="Lienhypertexte"/>
            <w:noProof/>
          </w:rPr>
          <w:t xml:space="preserve">2. Mise en place de la coopération </w:t>
        </w:r>
        <w:r>
          <w:rPr>
            <w:noProof/>
            <w:webHidden/>
          </w:rPr>
          <w:tab/>
        </w:r>
        <w:r>
          <w:rPr>
            <w:noProof/>
            <w:webHidden/>
          </w:rPr>
          <w:fldChar w:fldCharType="begin"/>
        </w:r>
        <w:r>
          <w:rPr>
            <w:noProof/>
            <w:webHidden/>
          </w:rPr>
          <w:instrText xml:space="preserve"> PAGEREF _Toc522700748 \h </w:instrText>
        </w:r>
        <w:r>
          <w:rPr>
            <w:noProof/>
            <w:webHidden/>
          </w:rPr>
        </w:r>
        <w:r>
          <w:rPr>
            <w:noProof/>
            <w:webHidden/>
          </w:rPr>
          <w:fldChar w:fldCharType="separate"/>
        </w:r>
        <w:r>
          <w:rPr>
            <w:noProof/>
            <w:webHidden/>
          </w:rPr>
          <w:t>14</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49" w:history="1">
        <w:r>
          <w:rPr>
            <w:rStyle w:val="Lienhypertexte"/>
            <w:noProof/>
          </w:rPr>
          <w:t>3. Modalités</w:t>
        </w:r>
        <w:r>
          <w:rPr>
            <w:noProof/>
            <w:webHidden/>
          </w:rPr>
          <w:tab/>
        </w:r>
        <w:r>
          <w:rPr>
            <w:noProof/>
            <w:webHidden/>
          </w:rPr>
          <w:fldChar w:fldCharType="begin"/>
        </w:r>
        <w:r>
          <w:rPr>
            <w:noProof/>
            <w:webHidden/>
          </w:rPr>
          <w:instrText xml:space="preserve"> PAGEREF _Toc522700749 \h </w:instrText>
        </w:r>
        <w:r>
          <w:rPr>
            <w:noProof/>
            <w:webHidden/>
          </w:rPr>
        </w:r>
        <w:r>
          <w:rPr>
            <w:noProof/>
            <w:webHidden/>
          </w:rPr>
          <w:fldChar w:fldCharType="separate"/>
        </w:r>
        <w:r>
          <w:rPr>
            <w:noProof/>
            <w:webHidden/>
          </w:rPr>
          <w:t>15</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50" w:history="1">
        <w:r>
          <w:rPr>
            <w:rStyle w:val="Lienhypertexte"/>
            <w:noProof/>
          </w:rPr>
          <w:t>4. Modification des termes de la coopération entre établissements</w:t>
        </w:r>
        <w:r>
          <w:rPr>
            <w:noProof/>
            <w:webHidden/>
          </w:rPr>
          <w:tab/>
        </w:r>
        <w:r>
          <w:rPr>
            <w:noProof/>
            <w:webHidden/>
          </w:rPr>
          <w:fldChar w:fldCharType="begin"/>
        </w:r>
        <w:r>
          <w:rPr>
            <w:noProof/>
            <w:webHidden/>
          </w:rPr>
          <w:instrText xml:space="preserve"> PAGEREF _Toc522700750 \h </w:instrText>
        </w:r>
        <w:r>
          <w:rPr>
            <w:noProof/>
            <w:webHidden/>
          </w:rPr>
        </w:r>
        <w:r>
          <w:rPr>
            <w:noProof/>
            <w:webHidden/>
          </w:rPr>
          <w:fldChar w:fldCharType="separate"/>
        </w:r>
        <w:r>
          <w:rPr>
            <w:noProof/>
            <w:webHidden/>
          </w:rPr>
          <w:t>15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51" w:history="1">
        <w:r>
          <w:rPr>
            <w:rStyle w:val="Lienhypertexte"/>
            <w:noProof/>
          </w:rPr>
          <w:t>III. Structure d’enseignement</w:t>
        </w:r>
        <w:r>
          <w:rPr>
            <w:noProof/>
            <w:webHidden/>
          </w:rPr>
          <w:tab/>
        </w:r>
        <w:r>
          <w:rPr>
            <w:noProof/>
            <w:webHidden/>
          </w:rPr>
          <w:fldChar w:fldCharType="begin"/>
        </w:r>
        <w:r>
          <w:rPr>
            <w:noProof/>
            <w:webHidden/>
          </w:rPr>
          <w:instrText xml:space="preserve"> PAGEREF _Toc522700751 \h </w:instrText>
        </w:r>
        <w:r>
          <w:rPr>
            <w:noProof/>
            <w:webHidden/>
          </w:rPr>
        </w:r>
        <w:r>
          <w:rPr>
            <w:noProof/>
            <w:webHidden/>
          </w:rPr>
          <w:fldChar w:fldCharType="separate"/>
        </w:r>
        <w:r>
          <w:rPr>
            <w:noProof/>
            <w:webHidden/>
          </w:rPr>
          <w:t>16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52" w:history="1">
        <w:r>
          <w:rPr>
            <w:rStyle w:val="Lienhypertexte"/>
            <w:noProof/>
          </w:rPr>
          <w:t>1. Organisation des formations relevant de l’article 49 du décret « Missions »</w:t>
        </w:r>
        <w:r>
          <w:rPr>
            <w:noProof/>
            <w:webHidden/>
          </w:rPr>
          <w:tab/>
        </w:r>
        <w:r>
          <w:rPr>
            <w:noProof/>
            <w:webHidden/>
          </w:rPr>
          <w:fldChar w:fldCharType="begin"/>
        </w:r>
        <w:r>
          <w:rPr>
            <w:noProof/>
            <w:webHidden/>
          </w:rPr>
          <w:instrText xml:space="preserve"> PAGEREF _Toc522700752 \h </w:instrText>
        </w:r>
        <w:r>
          <w:rPr>
            <w:noProof/>
            <w:webHidden/>
          </w:rPr>
        </w:r>
        <w:r>
          <w:rPr>
            <w:noProof/>
            <w:webHidden/>
          </w:rPr>
          <w:fldChar w:fldCharType="separate"/>
        </w:r>
        <w:r>
          <w:rPr>
            <w:noProof/>
            <w:webHidden/>
          </w:rPr>
          <w:t>16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53" w:history="1">
        <w:r>
          <w:rPr>
            <w:rStyle w:val="Lienhypertexte"/>
            <w:noProof/>
          </w:rPr>
          <w:t>2. Organisation des formations relevant de l’article 47 du décret « Missions »</w:t>
        </w:r>
        <w:r>
          <w:rPr>
            <w:noProof/>
            <w:webHidden/>
          </w:rPr>
          <w:tab/>
        </w:r>
        <w:r>
          <w:rPr>
            <w:noProof/>
            <w:webHidden/>
          </w:rPr>
          <w:fldChar w:fldCharType="begin"/>
        </w:r>
        <w:r>
          <w:rPr>
            <w:noProof/>
            <w:webHidden/>
          </w:rPr>
          <w:instrText xml:space="preserve"> PAGEREF _Toc522700753 \h </w:instrText>
        </w:r>
        <w:r>
          <w:rPr>
            <w:noProof/>
            <w:webHidden/>
          </w:rPr>
        </w:r>
        <w:r>
          <w:rPr>
            <w:noProof/>
            <w:webHidden/>
          </w:rPr>
          <w:fldChar w:fldCharType="separate"/>
        </w:r>
        <w:r>
          <w:rPr>
            <w:noProof/>
            <w:webHidden/>
          </w:rPr>
          <w:t>16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54" w:history="1">
        <w:r>
          <w:rPr>
            <w:rStyle w:val="Lienhypertexte"/>
            <w:noProof/>
          </w:rPr>
          <w:t>3. Organisation des formations relevant de l’article 45 du décret « Missions »</w:t>
        </w:r>
        <w:r>
          <w:rPr>
            <w:noProof/>
            <w:webHidden/>
          </w:rPr>
          <w:tab/>
        </w:r>
        <w:r>
          <w:rPr>
            <w:noProof/>
            <w:webHidden/>
          </w:rPr>
          <w:fldChar w:fldCharType="begin"/>
        </w:r>
        <w:r>
          <w:rPr>
            <w:noProof/>
            <w:webHidden/>
          </w:rPr>
          <w:instrText xml:space="preserve"> PAGEREF _Toc522700754 \h </w:instrText>
        </w:r>
        <w:r>
          <w:rPr>
            <w:noProof/>
            <w:webHidden/>
          </w:rPr>
        </w:r>
        <w:r>
          <w:rPr>
            <w:noProof/>
            <w:webHidden/>
          </w:rPr>
          <w:fldChar w:fldCharType="separate"/>
        </w:r>
        <w:r>
          <w:rPr>
            <w:noProof/>
            <w:webHidden/>
          </w:rPr>
          <w:t>17</w:t>
        </w:r>
        <w:r>
          <w:rPr>
            <w:noProof/>
            <w:webHidden/>
          </w:rPr>
          <w:fldChar w:fldCharType="end"/>
        </w:r>
      </w:hyperlink>
    </w:p>
    <w:p>
      <w:pPr>
        <w:pStyle w:val="TM3"/>
        <w:ind w:left="567" w:hanging="167"/>
        <w:rPr>
          <w:rFonts w:asciiTheme="minorHAnsi" w:eastAsiaTheme="minorEastAsia" w:hAnsiTheme="minorHAnsi" w:cstheme="minorBidi"/>
          <w:noProof/>
          <w:sz w:val="22"/>
          <w:szCs w:val="22"/>
          <w:lang w:eastAsia="fr-BE"/>
        </w:rPr>
      </w:pPr>
      <w:hyperlink w:anchor="_Toc522700755" w:history="1">
        <w:r>
          <w:rPr>
            <w:rStyle w:val="Lienhypertexte"/>
            <w:noProof/>
          </w:rPr>
          <w:t>4. Formations qui, ne correspondant pas à un profil de formation spécifique approuvé par le Gouvernement, sont    organisées en urgence</w:t>
        </w:r>
        <w:r>
          <w:rPr>
            <w:noProof/>
            <w:webHidden/>
          </w:rPr>
          <w:tab/>
        </w:r>
        <w:r>
          <w:rPr>
            <w:noProof/>
            <w:webHidden/>
          </w:rPr>
          <w:fldChar w:fldCharType="begin"/>
        </w:r>
        <w:r>
          <w:rPr>
            <w:noProof/>
            <w:webHidden/>
          </w:rPr>
          <w:instrText xml:space="preserve"> PAGEREF _Toc522700755 \h </w:instrText>
        </w:r>
        <w:r>
          <w:rPr>
            <w:noProof/>
            <w:webHidden/>
          </w:rPr>
        </w:r>
        <w:r>
          <w:rPr>
            <w:noProof/>
            <w:webHidden/>
          </w:rPr>
          <w:fldChar w:fldCharType="separate"/>
        </w:r>
        <w:r>
          <w:rPr>
            <w:noProof/>
            <w:webHidden/>
          </w:rPr>
          <w:t>18</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56" w:history="1">
        <w:r>
          <w:rPr>
            <w:rStyle w:val="Lienhypertexte"/>
            <w:noProof/>
          </w:rPr>
          <w:t xml:space="preserve">5. Organisation de modules de formation individualisés </w:t>
        </w:r>
        <w:r>
          <w:rPr>
            <w:noProof/>
            <w:webHidden/>
          </w:rPr>
          <w:tab/>
        </w:r>
        <w:r>
          <w:rPr>
            <w:noProof/>
            <w:webHidden/>
          </w:rPr>
          <w:fldChar w:fldCharType="begin"/>
        </w:r>
        <w:r>
          <w:rPr>
            <w:noProof/>
            <w:webHidden/>
          </w:rPr>
          <w:instrText xml:space="preserve"> PAGEREF _Toc522700756 \h </w:instrText>
        </w:r>
        <w:r>
          <w:rPr>
            <w:noProof/>
            <w:webHidden/>
          </w:rPr>
        </w:r>
        <w:r>
          <w:rPr>
            <w:noProof/>
            <w:webHidden/>
          </w:rPr>
          <w:fldChar w:fldCharType="separate"/>
        </w:r>
        <w:r>
          <w:rPr>
            <w:noProof/>
            <w:webHidden/>
          </w:rPr>
          <w:t>20</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522700757" w:history="1">
        <w:r>
          <w:rPr>
            <w:rStyle w:val="Lienhypertexte"/>
            <w:noProof/>
          </w:rPr>
          <w:t>CHAPITRE II : CONDITIONS D’ADMISSION</w:t>
        </w:r>
        <w:r>
          <w:rPr>
            <w:noProof/>
            <w:webHidden/>
          </w:rPr>
          <w:tab/>
        </w:r>
        <w:r>
          <w:rPr>
            <w:noProof/>
            <w:webHidden/>
          </w:rPr>
          <w:fldChar w:fldCharType="begin"/>
        </w:r>
        <w:r>
          <w:rPr>
            <w:noProof/>
            <w:webHidden/>
          </w:rPr>
          <w:instrText xml:space="preserve"> PAGEREF _Toc522700757 \h </w:instrText>
        </w:r>
        <w:r>
          <w:rPr>
            <w:noProof/>
            <w:webHidden/>
          </w:rPr>
        </w:r>
        <w:r>
          <w:rPr>
            <w:noProof/>
            <w:webHidden/>
          </w:rPr>
          <w:fldChar w:fldCharType="separate"/>
        </w:r>
        <w:r>
          <w:rPr>
            <w:noProof/>
            <w:webHidden/>
          </w:rPr>
          <w:t>21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58" w:history="1">
        <w:r>
          <w:rPr>
            <w:rStyle w:val="Lienhypertexte"/>
            <w:noProof/>
          </w:rPr>
          <w:t>I. Inscription</w:t>
        </w:r>
        <w:r>
          <w:rPr>
            <w:noProof/>
            <w:webHidden/>
          </w:rPr>
          <w:tab/>
        </w:r>
        <w:r>
          <w:rPr>
            <w:noProof/>
            <w:webHidden/>
          </w:rPr>
          <w:fldChar w:fldCharType="begin"/>
        </w:r>
        <w:r>
          <w:rPr>
            <w:noProof/>
            <w:webHidden/>
          </w:rPr>
          <w:instrText xml:space="preserve"> PAGEREF _Toc522700758 \h </w:instrText>
        </w:r>
        <w:r>
          <w:rPr>
            <w:noProof/>
            <w:webHidden/>
          </w:rPr>
        </w:r>
        <w:r>
          <w:rPr>
            <w:noProof/>
            <w:webHidden/>
          </w:rPr>
          <w:fldChar w:fldCharType="separate"/>
        </w:r>
        <w:r>
          <w:rPr>
            <w:noProof/>
            <w:webHidden/>
          </w:rPr>
          <w:t>21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59" w:history="1">
        <w:r>
          <w:rPr>
            <w:rStyle w:val="Lienhypertexte"/>
            <w:noProof/>
          </w:rPr>
          <w:t>II. conditions d’admission</w:t>
        </w:r>
        <w:r>
          <w:rPr>
            <w:noProof/>
            <w:webHidden/>
          </w:rPr>
          <w:tab/>
        </w:r>
        <w:r>
          <w:rPr>
            <w:noProof/>
            <w:webHidden/>
          </w:rPr>
          <w:fldChar w:fldCharType="begin"/>
        </w:r>
        <w:r>
          <w:rPr>
            <w:noProof/>
            <w:webHidden/>
          </w:rPr>
          <w:instrText xml:space="preserve"> PAGEREF _Toc522700759 \h </w:instrText>
        </w:r>
        <w:r>
          <w:rPr>
            <w:noProof/>
            <w:webHidden/>
          </w:rPr>
        </w:r>
        <w:r>
          <w:rPr>
            <w:noProof/>
            <w:webHidden/>
          </w:rPr>
          <w:fldChar w:fldCharType="separate"/>
        </w:r>
        <w:r>
          <w:rPr>
            <w:noProof/>
            <w:webHidden/>
          </w:rPr>
          <w:t>23</w:t>
        </w:r>
        <w:r>
          <w:rPr>
            <w:noProof/>
            <w:webHidden/>
          </w:rPr>
          <w:fldChar w:fldCharType="end"/>
        </w:r>
      </w:hyperlink>
    </w:p>
    <w:p>
      <w:pPr>
        <w:pStyle w:val="TM2"/>
        <w:ind w:left="567" w:hanging="367"/>
        <w:rPr>
          <w:rFonts w:asciiTheme="minorHAnsi" w:eastAsiaTheme="minorEastAsia" w:hAnsiTheme="minorHAnsi" w:cstheme="minorBidi"/>
          <w:b w:val="0"/>
          <w:bCs w:val="0"/>
          <w:caps w:val="0"/>
          <w:noProof/>
          <w:sz w:val="22"/>
          <w:szCs w:val="22"/>
          <w:lang w:eastAsia="fr-BE"/>
        </w:rPr>
      </w:pPr>
      <w:hyperlink w:anchor="_Toc522700760" w:history="1">
        <w:r>
          <w:rPr>
            <w:rStyle w:val="Lienhypertexte"/>
            <w:noProof/>
          </w:rPr>
          <w:t>III. Passage de l’ENSEIGNEMENT SECONDAIRE SPECIALISE de plein exercice vers l’enseignement secondaire ordinaire EN ALTERNANCE</w:t>
        </w:r>
        <w:r>
          <w:rPr>
            <w:noProof/>
            <w:webHidden/>
          </w:rPr>
          <w:tab/>
        </w:r>
        <w:r>
          <w:rPr>
            <w:noProof/>
            <w:webHidden/>
          </w:rPr>
          <w:fldChar w:fldCharType="begin"/>
        </w:r>
        <w:r>
          <w:rPr>
            <w:noProof/>
            <w:webHidden/>
          </w:rPr>
          <w:instrText xml:space="preserve"> PAGEREF _Toc522700760 \h </w:instrText>
        </w:r>
        <w:r>
          <w:rPr>
            <w:noProof/>
            <w:webHidden/>
          </w:rPr>
        </w:r>
        <w:r>
          <w:rPr>
            <w:noProof/>
            <w:webHidden/>
          </w:rPr>
          <w:fldChar w:fldCharType="separate"/>
        </w:r>
        <w:r>
          <w:rPr>
            <w:noProof/>
            <w:webHidden/>
          </w:rPr>
          <w:t>40</w:t>
        </w:r>
        <w:r>
          <w:rPr>
            <w:noProof/>
            <w:webHidden/>
          </w:rPr>
          <w:fldChar w:fldCharType="end"/>
        </w:r>
      </w:hyperlink>
    </w:p>
    <w:p>
      <w:pPr>
        <w:pStyle w:val="TM3"/>
        <w:ind w:left="567" w:hanging="167"/>
        <w:rPr>
          <w:rFonts w:asciiTheme="minorHAnsi" w:eastAsiaTheme="minorEastAsia" w:hAnsiTheme="minorHAnsi" w:cstheme="minorBidi"/>
          <w:noProof/>
          <w:sz w:val="22"/>
          <w:szCs w:val="22"/>
          <w:lang w:eastAsia="fr-BE"/>
        </w:rPr>
      </w:pPr>
      <w:hyperlink w:anchor="_Toc522700761" w:history="1">
        <w:r>
          <w:rPr>
            <w:rStyle w:val="Lienhypertexte"/>
            <w:noProof/>
          </w:rPr>
          <w:t>1. Conditions de passage de l’enseignement primaire spécialisé et de l’enseignement secondaire spécialisé de forme 3 vers l’enseignement ordinaire des élèves porteurs du CEB</w:t>
        </w:r>
        <w:r>
          <w:rPr>
            <w:noProof/>
            <w:webHidden/>
          </w:rPr>
          <w:tab/>
        </w:r>
        <w:r>
          <w:rPr>
            <w:noProof/>
            <w:webHidden/>
          </w:rPr>
          <w:fldChar w:fldCharType="begin"/>
        </w:r>
        <w:r>
          <w:rPr>
            <w:noProof/>
            <w:webHidden/>
          </w:rPr>
          <w:instrText xml:space="preserve"> PAGEREF _Toc522700761 \h </w:instrText>
        </w:r>
        <w:r>
          <w:rPr>
            <w:noProof/>
            <w:webHidden/>
          </w:rPr>
        </w:r>
        <w:r>
          <w:rPr>
            <w:noProof/>
            <w:webHidden/>
          </w:rPr>
          <w:fldChar w:fldCharType="separate"/>
        </w:r>
        <w:r>
          <w:rPr>
            <w:noProof/>
            <w:webHidden/>
          </w:rPr>
          <w:t>40</w:t>
        </w:r>
        <w:r>
          <w:rPr>
            <w:noProof/>
            <w:webHidden/>
          </w:rPr>
          <w:fldChar w:fldCharType="end"/>
        </w:r>
      </w:hyperlink>
    </w:p>
    <w:p>
      <w:pPr>
        <w:pStyle w:val="TM3"/>
        <w:ind w:left="567" w:hanging="167"/>
        <w:rPr>
          <w:rFonts w:asciiTheme="minorHAnsi" w:eastAsiaTheme="minorEastAsia" w:hAnsiTheme="minorHAnsi" w:cstheme="minorBidi"/>
          <w:noProof/>
          <w:sz w:val="22"/>
          <w:szCs w:val="22"/>
          <w:lang w:eastAsia="fr-BE"/>
        </w:rPr>
      </w:pPr>
      <w:hyperlink w:anchor="_Toc522700762" w:history="1">
        <w:r>
          <w:rPr>
            <w:rStyle w:val="Lienhypertexte"/>
            <w:noProof/>
          </w:rPr>
          <w:t>2. Conditions de passage de l’enseignement primaire spécialisé et de l’enseignement secondaire spécialisé de forme 3 vers l’enseignement ordinaire des élèves qui ne sont pas porteurs du CEB</w:t>
        </w:r>
        <w:r>
          <w:rPr>
            <w:noProof/>
            <w:webHidden/>
          </w:rPr>
          <w:tab/>
        </w:r>
        <w:r>
          <w:rPr>
            <w:noProof/>
            <w:webHidden/>
          </w:rPr>
          <w:fldChar w:fldCharType="begin"/>
        </w:r>
        <w:r>
          <w:rPr>
            <w:noProof/>
            <w:webHidden/>
          </w:rPr>
          <w:instrText xml:space="preserve"> PAGEREF _Toc522700762 \h </w:instrText>
        </w:r>
        <w:r>
          <w:rPr>
            <w:noProof/>
            <w:webHidden/>
          </w:rPr>
        </w:r>
        <w:r>
          <w:rPr>
            <w:noProof/>
            <w:webHidden/>
          </w:rPr>
          <w:fldChar w:fldCharType="separate"/>
        </w:r>
        <w:r>
          <w:rPr>
            <w:noProof/>
            <w:webHidden/>
          </w:rPr>
          <w:t>41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63" w:history="1">
        <w:r>
          <w:rPr>
            <w:rStyle w:val="Lienhypertexte"/>
            <w:noProof/>
          </w:rPr>
          <w:t>iV. l’insertion socio-professionnelle</w:t>
        </w:r>
        <w:r>
          <w:rPr>
            <w:noProof/>
            <w:webHidden/>
          </w:rPr>
          <w:tab/>
        </w:r>
        <w:r>
          <w:rPr>
            <w:noProof/>
            <w:webHidden/>
          </w:rPr>
          <w:fldChar w:fldCharType="begin"/>
        </w:r>
        <w:r>
          <w:rPr>
            <w:noProof/>
            <w:webHidden/>
          </w:rPr>
          <w:instrText xml:space="preserve"> PAGEREF _Toc522700763 \h </w:instrText>
        </w:r>
        <w:r>
          <w:rPr>
            <w:noProof/>
            <w:webHidden/>
          </w:rPr>
        </w:r>
        <w:r>
          <w:rPr>
            <w:noProof/>
            <w:webHidden/>
          </w:rPr>
          <w:fldChar w:fldCharType="separate"/>
        </w:r>
        <w:r>
          <w:rPr>
            <w:noProof/>
            <w:webHidden/>
          </w:rPr>
          <w:t>43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64" w:history="1">
        <w:r>
          <w:rPr>
            <w:rStyle w:val="Lienhypertexte"/>
            <w:noProof/>
          </w:rPr>
          <w:t>V. Fréquentation et exclusion</w:t>
        </w:r>
        <w:r>
          <w:rPr>
            <w:noProof/>
            <w:webHidden/>
          </w:rPr>
          <w:tab/>
        </w:r>
        <w:r>
          <w:rPr>
            <w:noProof/>
            <w:webHidden/>
          </w:rPr>
          <w:fldChar w:fldCharType="begin"/>
        </w:r>
        <w:r>
          <w:rPr>
            <w:noProof/>
            <w:webHidden/>
          </w:rPr>
          <w:instrText xml:space="preserve"> PAGEREF _Toc522700764 \h </w:instrText>
        </w:r>
        <w:r>
          <w:rPr>
            <w:noProof/>
            <w:webHidden/>
          </w:rPr>
        </w:r>
        <w:r>
          <w:rPr>
            <w:noProof/>
            <w:webHidden/>
          </w:rPr>
          <w:fldChar w:fldCharType="separate"/>
        </w:r>
        <w:r>
          <w:rPr>
            <w:noProof/>
            <w:webHidden/>
          </w:rPr>
          <w:t>43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65" w:history="1">
        <w:r>
          <w:rPr>
            <w:rStyle w:val="Lienhypertexte"/>
            <w:noProof/>
          </w:rPr>
          <w:t>1. Fréquentation</w:t>
        </w:r>
        <w:r>
          <w:rPr>
            <w:noProof/>
            <w:webHidden/>
          </w:rPr>
          <w:tab/>
        </w:r>
        <w:r>
          <w:rPr>
            <w:noProof/>
            <w:webHidden/>
          </w:rPr>
          <w:fldChar w:fldCharType="begin"/>
        </w:r>
        <w:r>
          <w:rPr>
            <w:noProof/>
            <w:webHidden/>
          </w:rPr>
          <w:instrText xml:space="preserve"> PAGEREF _Toc522700765 \h </w:instrText>
        </w:r>
        <w:r>
          <w:rPr>
            <w:noProof/>
            <w:webHidden/>
          </w:rPr>
        </w:r>
        <w:r>
          <w:rPr>
            <w:noProof/>
            <w:webHidden/>
          </w:rPr>
          <w:fldChar w:fldCharType="separate"/>
        </w:r>
        <w:r>
          <w:rPr>
            <w:noProof/>
            <w:webHidden/>
          </w:rPr>
          <w:t>43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66" w:history="1">
        <w:r>
          <w:rPr>
            <w:rStyle w:val="Lienhypertexte"/>
            <w:noProof/>
          </w:rPr>
          <w:t>2. Exclusion</w:t>
        </w:r>
        <w:r>
          <w:rPr>
            <w:noProof/>
            <w:webHidden/>
          </w:rPr>
          <w:tab/>
        </w:r>
        <w:r>
          <w:rPr>
            <w:noProof/>
            <w:webHidden/>
          </w:rPr>
          <w:fldChar w:fldCharType="begin"/>
        </w:r>
        <w:r>
          <w:rPr>
            <w:noProof/>
            <w:webHidden/>
          </w:rPr>
          <w:instrText xml:space="preserve"> PAGEREF _Toc522700766 \h </w:instrText>
        </w:r>
        <w:r>
          <w:rPr>
            <w:noProof/>
            <w:webHidden/>
          </w:rPr>
        </w:r>
        <w:r>
          <w:rPr>
            <w:noProof/>
            <w:webHidden/>
          </w:rPr>
          <w:fldChar w:fldCharType="separate"/>
        </w:r>
        <w:r>
          <w:rPr>
            <w:noProof/>
            <w:webHidden/>
          </w:rPr>
          <w:t>44</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67" w:history="1">
        <w:r>
          <w:rPr>
            <w:rStyle w:val="Lienhypertexte"/>
            <w:noProof/>
          </w:rPr>
          <w:t>Formulaires ELECTRONIQUES relatifs à la sanction des études</w:t>
        </w:r>
        <w:r>
          <w:rPr>
            <w:noProof/>
            <w:webHidden/>
          </w:rPr>
          <w:tab/>
        </w:r>
        <w:r>
          <w:rPr>
            <w:noProof/>
            <w:webHidden/>
          </w:rPr>
          <w:fldChar w:fldCharType="begin"/>
        </w:r>
        <w:r>
          <w:rPr>
            <w:noProof/>
            <w:webHidden/>
          </w:rPr>
          <w:instrText xml:space="preserve"> PAGEREF _Toc522700767 \h </w:instrText>
        </w:r>
        <w:r>
          <w:rPr>
            <w:noProof/>
            <w:webHidden/>
          </w:rPr>
        </w:r>
        <w:r>
          <w:rPr>
            <w:noProof/>
            <w:webHidden/>
          </w:rPr>
          <w:fldChar w:fldCharType="separate"/>
        </w:r>
        <w:r>
          <w:rPr>
            <w:noProof/>
            <w:webHidden/>
          </w:rPr>
          <w:t>44</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522700768" w:history="1">
        <w:r>
          <w:rPr>
            <w:rStyle w:val="Lienhypertexte"/>
            <w:noProof/>
          </w:rPr>
          <w:t>CHAPITRE III : SANCTION DES ETUDES</w:t>
        </w:r>
        <w:r>
          <w:rPr>
            <w:noProof/>
            <w:webHidden/>
          </w:rPr>
          <w:tab/>
        </w:r>
        <w:r>
          <w:rPr>
            <w:noProof/>
            <w:webHidden/>
          </w:rPr>
          <w:fldChar w:fldCharType="begin"/>
        </w:r>
        <w:r>
          <w:rPr>
            <w:noProof/>
            <w:webHidden/>
          </w:rPr>
          <w:instrText xml:space="preserve"> PAGEREF _Toc522700768 \h </w:instrText>
        </w:r>
        <w:r>
          <w:rPr>
            <w:noProof/>
            <w:webHidden/>
          </w:rPr>
        </w:r>
        <w:r>
          <w:rPr>
            <w:noProof/>
            <w:webHidden/>
          </w:rPr>
          <w:fldChar w:fldCharType="separate"/>
        </w:r>
        <w:r>
          <w:rPr>
            <w:noProof/>
            <w:webHidden/>
          </w:rPr>
          <w:t>47</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69" w:history="1">
        <w:r>
          <w:rPr>
            <w:rStyle w:val="Lienhypertexte"/>
            <w:noProof/>
          </w:rPr>
          <w:t>i. Le Conseil de classe / Le Jury de qualification</w:t>
        </w:r>
        <w:r>
          <w:rPr>
            <w:noProof/>
            <w:webHidden/>
          </w:rPr>
          <w:tab/>
        </w:r>
        <w:r>
          <w:rPr>
            <w:noProof/>
            <w:webHidden/>
          </w:rPr>
          <w:fldChar w:fldCharType="begin"/>
        </w:r>
        <w:r>
          <w:rPr>
            <w:noProof/>
            <w:webHidden/>
          </w:rPr>
          <w:instrText xml:space="preserve"> PAGEREF _Toc522700769 \h </w:instrText>
        </w:r>
        <w:r>
          <w:rPr>
            <w:noProof/>
            <w:webHidden/>
          </w:rPr>
        </w:r>
        <w:r>
          <w:rPr>
            <w:noProof/>
            <w:webHidden/>
          </w:rPr>
          <w:fldChar w:fldCharType="separate"/>
        </w:r>
        <w:r>
          <w:rPr>
            <w:noProof/>
            <w:webHidden/>
          </w:rPr>
          <w:t>47</w:t>
        </w:r>
        <w:r>
          <w:rPr>
            <w:noProof/>
            <w:webHidden/>
          </w:rPr>
          <w:fldChar w:fldCharType="end"/>
        </w:r>
      </w:hyperlink>
    </w:p>
    <w:p>
      <w:pPr>
        <w:pStyle w:val="TM2"/>
        <w:ind w:left="426" w:hanging="226"/>
        <w:rPr>
          <w:rFonts w:asciiTheme="minorHAnsi" w:eastAsiaTheme="minorEastAsia" w:hAnsiTheme="minorHAnsi" w:cstheme="minorBidi"/>
          <w:b w:val="0"/>
          <w:bCs w:val="0"/>
          <w:caps w:val="0"/>
          <w:noProof/>
          <w:sz w:val="22"/>
          <w:szCs w:val="22"/>
          <w:lang w:eastAsia="fr-BE"/>
        </w:rPr>
      </w:pPr>
      <w:hyperlink w:anchor="_Toc522700770" w:history="1">
        <w:r>
          <w:rPr>
            <w:rStyle w:val="Lienhypertexte"/>
            <w:noProof/>
          </w:rPr>
          <w:t>ii. Formations relevant de l’application de l’article 49 du décret « Missions »</w:t>
        </w:r>
        <w:r>
          <w:rPr>
            <w:noProof/>
            <w:webHidden/>
          </w:rPr>
          <w:tab/>
        </w:r>
        <w:r>
          <w:rPr>
            <w:noProof/>
            <w:webHidden/>
          </w:rPr>
          <w:fldChar w:fldCharType="begin"/>
        </w:r>
        <w:r>
          <w:rPr>
            <w:noProof/>
            <w:webHidden/>
          </w:rPr>
          <w:instrText xml:space="preserve"> PAGEREF _Toc522700770 \h </w:instrText>
        </w:r>
        <w:r>
          <w:rPr>
            <w:noProof/>
            <w:webHidden/>
          </w:rPr>
        </w:r>
        <w:r>
          <w:rPr>
            <w:noProof/>
            <w:webHidden/>
          </w:rPr>
          <w:fldChar w:fldCharType="separate"/>
        </w:r>
        <w:r>
          <w:rPr>
            <w:noProof/>
            <w:webHidden/>
          </w:rPr>
          <w:t>47</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71" w:history="1">
        <w:r>
          <w:rPr>
            <w:rStyle w:val="Lienhypertexte"/>
            <w:noProof/>
          </w:rPr>
          <w:t>1. La certification</w:t>
        </w:r>
        <w:r>
          <w:rPr>
            <w:noProof/>
            <w:webHidden/>
          </w:rPr>
          <w:tab/>
        </w:r>
        <w:r>
          <w:rPr>
            <w:noProof/>
            <w:webHidden/>
          </w:rPr>
          <w:fldChar w:fldCharType="begin"/>
        </w:r>
        <w:r>
          <w:rPr>
            <w:noProof/>
            <w:webHidden/>
          </w:rPr>
          <w:instrText xml:space="preserve"> PAGEREF _Toc522700771 \h </w:instrText>
        </w:r>
        <w:r>
          <w:rPr>
            <w:noProof/>
            <w:webHidden/>
          </w:rPr>
        </w:r>
        <w:r>
          <w:rPr>
            <w:noProof/>
            <w:webHidden/>
          </w:rPr>
          <w:fldChar w:fldCharType="separate"/>
        </w:r>
        <w:r>
          <w:rPr>
            <w:noProof/>
            <w:webHidden/>
          </w:rPr>
          <w:t>47</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72" w:history="1">
        <w:r>
          <w:rPr>
            <w:rStyle w:val="Lienhypertexte"/>
            <w:noProof/>
          </w:rPr>
          <w:t>2. Le certificat relatif aux connaissances de gestion de base</w:t>
        </w:r>
        <w:r>
          <w:rPr>
            <w:noProof/>
            <w:webHidden/>
          </w:rPr>
          <w:tab/>
        </w:r>
        <w:r>
          <w:rPr>
            <w:noProof/>
            <w:webHidden/>
          </w:rPr>
          <w:fldChar w:fldCharType="begin"/>
        </w:r>
        <w:r>
          <w:rPr>
            <w:noProof/>
            <w:webHidden/>
          </w:rPr>
          <w:instrText xml:space="preserve"> PAGEREF _Toc522700772 \h </w:instrText>
        </w:r>
        <w:r>
          <w:rPr>
            <w:noProof/>
            <w:webHidden/>
          </w:rPr>
        </w:r>
        <w:r>
          <w:rPr>
            <w:noProof/>
            <w:webHidden/>
          </w:rPr>
          <w:fldChar w:fldCharType="separate"/>
        </w:r>
        <w:r>
          <w:rPr>
            <w:noProof/>
            <w:webHidden/>
          </w:rPr>
          <w:t>50</w:t>
        </w:r>
        <w:r>
          <w:rPr>
            <w:noProof/>
            <w:webHidden/>
          </w:rPr>
          <w:fldChar w:fldCharType="end"/>
        </w:r>
      </w:hyperlink>
    </w:p>
    <w:p>
      <w:pPr>
        <w:pStyle w:val="TM2"/>
        <w:ind w:left="567" w:hanging="367"/>
        <w:rPr>
          <w:rFonts w:asciiTheme="minorHAnsi" w:eastAsiaTheme="minorEastAsia" w:hAnsiTheme="minorHAnsi" w:cstheme="minorBidi"/>
          <w:b w:val="0"/>
          <w:bCs w:val="0"/>
          <w:caps w:val="0"/>
          <w:noProof/>
          <w:sz w:val="22"/>
          <w:szCs w:val="22"/>
          <w:lang w:eastAsia="fr-BE"/>
        </w:rPr>
      </w:pPr>
      <w:hyperlink w:anchor="_Toc522700773" w:history="1">
        <w:r>
          <w:rPr>
            <w:rStyle w:val="Lienhypertexte"/>
            <w:noProof/>
          </w:rPr>
          <w:t>iii. Formations relevant de l’application de l’article 45 du décret « Missions »</w:t>
        </w:r>
        <w:r>
          <w:rPr>
            <w:noProof/>
            <w:webHidden/>
          </w:rPr>
          <w:tab/>
        </w:r>
        <w:r>
          <w:rPr>
            <w:noProof/>
            <w:webHidden/>
          </w:rPr>
          <w:fldChar w:fldCharType="begin"/>
        </w:r>
        <w:r>
          <w:rPr>
            <w:noProof/>
            <w:webHidden/>
          </w:rPr>
          <w:instrText xml:space="preserve"> PAGEREF _Toc522700773 \h </w:instrText>
        </w:r>
        <w:r>
          <w:rPr>
            <w:noProof/>
            <w:webHidden/>
          </w:rPr>
        </w:r>
        <w:r>
          <w:rPr>
            <w:noProof/>
            <w:webHidden/>
          </w:rPr>
          <w:fldChar w:fldCharType="separate"/>
        </w:r>
        <w:r>
          <w:rPr>
            <w:noProof/>
            <w:webHidden/>
          </w:rPr>
          <w:t>51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74" w:history="1">
        <w:r>
          <w:rPr>
            <w:rStyle w:val="Lienhypertexte"/>
            <w:noProof/>
          </w:rPr>
          <w:t>1. La certification</w:t>
        </w:r>
        <w:r>
          <w:rPr>
            <w:noProof/>
            <w:webHidden/>
          </w:rPr>
          <w:tab/>
        </w:r>
        <w:r>
          <w:rPr>
            <w:noProof/>
            <w:webHidden/>
          </w:rPr>
          <w:fldChar w:fldCharType="begin"/>
        </w:r>
        <w:r>
          <w:rPr>
            <w:noProof/>
            <w:webHidden/>
          </w:rPr>
          <w:instrText xml:space="preserve"> PAGEREF _Toc522700774 \h </w:instrText>
        </w:r>
        <w:r>
          <w:rPr>
            <w:noProof/>
            <w:webHidden/>
          </w:rPr>
        </w:r>
        <w:r>
          <w:rPr>
            <w:noProof/>
            <w:webHidden/>
          </w:rPr>
          <w:fldChar w:fldCharType="separate"/>
        </w:r>
        <w:r>
          <w:rPr>
            <w:noProof/>
            <w:webHidden/>
          </w:rPr>
          <w:t>51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75" w:history="1">
        <w:r>
          <w:rPr>
            <w:rStyle w:val="Lienhypertexte"/>
            <w:noProof/>
          </w:rPr>
          <w:t xml:space="preserve">2. Le certificat relatif aux connaissances de gestion de base </w:t>
        </w:r>
        <w:r>
          <w:rPr>
            <w:noProof/>
            <w:webHidden/>
          </w:rPr>
          <w:tab/>
        </w:r>
        <w:r>
          <w:rPr>
            <w:noProof/>
            <w:webHidden/>
          </w:rPr>
          <w:fldChar w:fldCharType="begin"/>
        </w:r>
        <w:r>
          <w:rPr>
            <w:noProof/>
            <w:webHidden/>
          </w:rPr>
          <w:instrText xml:space="preserve"> PAGEREF _Toc522700775 \h </w:instrText>
        </w:r>
        <w:r>
          <w:rPr>
            <w:noProof/>
            <w:webHidden/>
          </w:rPr>
        </w:r>
        <w:r>
          <w:rPr>
            <w:noProof/>
            <w:webHidden/>
          </w:rPr>
          <w:fldChar w:fldCharType="separate"/>
        </w:r>
        <w:r>
          <w:rPr>
            <w:noProof/>
            <w:webHidden/>
          </w:rPr>
          <w:t>51</w:t>
        </w:r>
        <w:r>
          <w:rPr>
            <w:noProof/>
            <w:webHidden/>
          </w:rPr>
          <w:fldChar w:fldCharType="end"/>
        </w:r>
      </w:hyperlink>
    </w:p>
    <w:p>
      <w:pPr>
        <w:pStyle w:val="TM2"/>
        <w:ind w:left="567" w:hanging="367"/>
        <w:rPr>
          <w:rFonts w:asciiTheme="minorHAnsi" w:eastAsiaTheme="minorEastAsia" w:hAnsiTheme="minorHAnsi" w:cstheme="minorBidi"/>
          <w:b w:val="0"/>
          <w:bCs w:val="0"/>
          <w:caps w:val="0"/>
          <w:noProof/>
          <w:sz w:val="22"/>
          <w:szCs w:val="22"/>
          <w:lang w:eastAsia="fr-BE"/>
        </w:rPr>
      </w:pPr>
      <w:hyperlink w:anchor="_Toc522700776" w:history="1">
        <w:r>
          <w:rPr>
            <w:rStyle w:val="Lienhypertexte"/>
            <w:noProof/>
          </w:rPr>
          <w:t>IV. Formation relevant de l’article 2</w:t>
        </w:r>
        <w:r>
          <w:rPr>
            <w:rStyle w:val="Lienhypertexte"/>
            <w:i/>
            <w:noProof/>
          </w:rPr>
          <w:t>bis</w:t>
        </w:r>
        <w:r>
          <w:rPr>
            <w:rStyle w:val="Lienhypertexte"/>
            <w:noProof/>
          </w:rPr>
          <w:t xml:space="preserve">, § 2 </w:t>
        </w:r>
        <w:r>
          <w:rPr>
            <w:rStyle w:val="Lienhypertexte"/>
            <w:noProof/>
            <w:spacing w:val="-3"/>
          </w:rPr>
          <w:t>(Formation « en urgence »)</w:t>
        </w:r>
        <w:r>
          <w:rPr>
            <w:noProof/>
            <w:webHidden/>
          </w:rPr>
          <w:tab/>
        </w:r>
        <w:r>
          <w:rPr>
            <w:noProof/>
            <w:webHidden/>
          </w:rPr>
          <w:fldChar w:fldCharType="begin"/>
        </w:r>
        <w:r>
          <w:rPr>
            <w:noProof/>
            <w:webHidden/>
          </w:rPr>
          <w:instrText xml:space="preserve"> PAGEREF _Toc522700776 \h </w:instrText>
        </w:r>
        <w:r>
          <w:rPr>
            <w:noProof/>
            <w:webHidden/>
          </w:rPr>
        </w:r>
        <w:r>
          <w:rPr>
            <w:noProof/>
            <w:webHidden/>
          </w:rPr>
          <w:fldChar w:fldCharType="separate"/>
        </w:r>
        <w:r>
          <w:rPr>
            <w:noProof/>
            <w:webHidden/>
          </w:rPr>
          <w:t>53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77" w:history="1">
        <w:r>
          <w:rPr>
            <w:rStyle w:val="Lienhypertexte"/>
            <w:noProof/>
          </w:rPr>
          <w:t>V. Enseignement secondaire spécialisé en alternance</w:t>
        </w:r>
        <w:r>
          <w:rPr>
            <w:noProof/>
            <w:webHidden/>
          </w:rPr>
          <w:tab/>
        </w:r>
        <w:r>
          <w:rPr>
            <w:noProof/>
            <w:webHidden/>
          </w:rPr>
          <w:fldChar w:fldCharType="begin"/>
        </w:r>
        <w:r>
          <w:rPr>
            <w:noProof/>
            <w:webHidden/>
          </w:rPr>
          <w:instrText xml:space="preserve"> PAGEREF _Toc522700777 \h </w:instrText>
        </w:r>
        <w:r>
          <w:rPr>
            <w:noProof/>
            <w:webHidden/>
          </w:rPr>
        </w:r>
        <w:r>
          <w:rPr>
            <w:noProof/>
            <w:webHidden/>
          </w:rPr>
          <w:fldChar w:fldCharType="separate"/>
        </w:r>
        <w:r>
          <w:rPr>
            <w:noProof/>
            <w:webHidden/>
          </w:rPr>
          <w:t>53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78" w:history="1">
        <w:r>
          <w:rPr>
            <w:rStyle w:val="Lienhypertexte"/>
            <w:noProof/>
          </w:rPr>
          <w:t>VI. Modèles des attestations et des certificats</w:t>
        </w:r>
        <w:r>
          <w:rPr>
            <w:noProof/>
            <w:webHidden/>
          </w:rPr>
          <w:tab/>
        </w:r>
        <w:r>
          <w:rPr>
            <w:noProof/>
            <w:webHidden/>
          </w:rPr>
          <w:fldChar w:fldCharType="begin"/>
        </w:r>
        <w:r>
          <w:rPr>
            <w:noProof/>
            <w:webHidden/>
          </w:rPr>
          <w:instrText xml:space="preserve"> PAGEREF _Toc522700778 \h </w:instrText>
        </w:r>
        <w:r>
          <w:rPr>
            <w:noProof/>
            <w:webHidden/>
          </w:rPr>
        </w:r>
        <w:r>
          <w:rPr>
            <w:noProof/>
            <w:webHidden/>
          </w:rPr>
          <w:fldChar w:fldCharType="separate"/>
        </w:r>
        <w:r>
          <w:rPr>
            <w:noProof/>
            <w:webHidden/>
          </w:rPr>
          <w:t>53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79" w:history="1">
        <w:r>
          <w:rPr>
            <w:rStyle w:val="Lienhypertexte"/>
            <w:noProof/>
          </w:rPr>
          <w:t>VII. La Certification par unite d’acquis d’apprentissage (cpu)</w:t>
        </w:r>
        <w:r>
          <w:rPr>
            <w:noProof/>
            <w:webHidden/>
          </w:rPr>
          <w:tab/>
        </w:r>
        <w:r>
          <w:rPr>
            <w:noProof/>
            <w:webHidden/>
          </w:rPr>
          <w:fldChar w:fldCharType="begin"/>
        </w:r>
        <w:r>
          <w:rPr>
            <w:noProof/>
            <w:webHidden/>
          </w:rPr>
          <w:instrText xml:space="preserve"> PAGEREF _Toc522700779 \h </w:instrText>
        </w:r>
        <w:r>
          <w:rPr>
            <w:noProof/>
            <w:webHidden/>
          </w:rPr>
        </w:r>
        <w:r>
          <w:rPr>
            <w:noProof/>
            <w:webHidden/>
          </w:rPr>
          <w:fldChar w:fldCharType="separate"/>
        </w:r>
        <w:r>
          <w:rPr>
            <w:noProof/>
            <w:webHidden/>
          </w:rPr>
          <w:t>54</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522700780" w:history="1">
        <w:r>
          <w:rPr>
            <w:rStyle w:val="Lienhypertexte"/>
            <w:noProof/>
          </w:rPr>
          <w:t>CHAPITRE IV : FONCTIONNEMENT</w:t>
        </w:r>
        <w:r>
          <w:rPr>
            <w:noProof/>
            <w:webHidden/>
          </w:rPr>
          <w:tab/>
        </w:r>
        <w:r>
          <w:rPr>
            <w:noProof/>
            <w:webHidden/>
          </w:rPr>
          <w:fldChar w:fldCharType="begin"/>
        </w:r>
        <w:r>
          <w:rPr>
            <w:noProof/>
            <w:webHidden/>
          </w:rPr>
          <w:instrText xml:space="preserve"> PAGEREF _Toc522700780 \h </w:instrText>
        </w:r>
        <w:r>
          <w:rPr>
            <w:noProof/>
            <w:webHidden/>
          </w:rPr>
        </w:r>
        <w:r>
          <w:rPr>
            <w:noProof/>
            <w:webHidden/>
          </w:rPr>
          <w:fldChar w:fldCharType="separate"/>
        </w:r>
        <w:r>
          <w:rPr>
            <w:noProof/>
            <w:webHidden/>
          </w:rPr>
          <w:t>61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81" w:history="1">
        <w:r>
          <w:rPr>
            <w:rStyle w:val="Lienhypertexte"/>
            <w:noProof/>
          </w:rPr>
          <w:t>I. Conseil de direction du CEFA</w:t>
        </w:r>
        <w:r>
          <w:rPr>
            <w:noProof/>
            <w:webHidden/>
          </w:rPr>
          <w:tab/>
        </w:r>
        <w:r>
          <w:rPr>
            <w:noProof/>
            <w:webHidden/>
          </w:rPr>
          <w:fldChar w:fldCharType="begin"/>
        </w:r>
        <w:r>
          <w:rPr>
            <w:noProof/>
            <w:webHidden/>
          </w:rPr>
          <w:instrText xml:space="preserve"> PAGEREF _Toc522700781 \h </w:instrText>
        </w:r>
        <w:r>
          <w:rPr>
            <w:noProof/>
            <w:webHidden/>
          </w:rPr>
        </w:r>
        <w:r>
          <w:rPr>
            <w:noProof/>
            <w:webHidden/>
          </w:rPr>
          <w:fldChar w:fldCharType="separate"/>
        </w:r>
        <w:r>
          <w:rPr>
            <w:noProof/>
            <w:webHidden/>
          </w:rPr>
          <w:t>61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82" w:history="1">
        <w:r>
          <w:rPr>
            <w:rStyle w:val="Lienhypertexte"/>
            <w:noProof/>
          </w:rPr>
          <w:t xml:space="preserve">1. Composition </w:t>
        </w:r>
        <w:r>
          <w:rPr>
            <w:noProof/>
            <w:webHidden/>
          </w:rPr>
          <w:tab/>
        </w:r>
        <w:r>
          <w:rPr>
            <w:noProof/>
            <w:webHidden/>
          </w:rPr>
          <w:fldChar w:fldCharType="begin"/>
        </w:r>
        <w:r>
          <w:rPr>
            <w:noProof/>
            <w:webHidden/>
          </w:rPr>
          <w:instrText xml:space="preserve"> PAGEREF _Toc522700782 \h </w:instrText>
        </w:r>
        <w:r>
          <w:rPr>
            <w:noProof/>
            <w:webHidden/>
          </w:rPr>
        </w:r>
        <w:r>
          <w:rPr>
            <w:noProof/>
            <w:webHidden/>
          </w:rPr>
          <w:fldChar w:fldCharType="separate"/>
        </w:r>
        <w:r>
          <w:rPr>
            <w:noProof/>
            <w:webHidden/>
          </w:rPr>
          <w:t>61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83" w:history="1">
        <w:r>
          <w:rPr>
            <w:rStyle w:val="Lienhypertexte"/>
            <w:noProof/>
          </w:rPr>
          <w:t>2. Compétences</w:t>
        </w:r>
        <w:r>
          <w:rPr>
            <w:noProof/>
            <w:webHidden/>
          </w:rPr>
          <w:tab/>
        </w:r>
        <w:r>
          <w:rPr>
            <w:noProof/>
            <w:webHidden/>
          </w:rPr>
          <w:fldChar w:fldCharType="begin"/>
        </w:r>
        <w:r>
          <w:rPr>
            <w:noProof/>
            <w:webHidden/>
          </w:rPr>
          <w:instrText xml:space="preserve"> PAGEREF _Toc522700783 \h </w:instrText>
        </w:r>
        <w:r>
          <w:rPr>
            <w:noProof/>
            <w:webHidden/>
          </w:rPr>
        </w:r>
        <w:r>
          <w:rPr>
            <w:noProof/>
            <w:webHidden/>
          </w:rPr>
          <w:fldChar w:fldCharType="separate"/>
        </w:r>
        <w:r>
          <w:rPr>
            <w:noProof/>
            <w:webHidden/>
          </w:rPr>
          <w:t>61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84" w:history="1">
        <w:r>
          <w:rPr>
            <w:rStyle w:val="Lienhypertexte"/>
            <w:noProof/>
          </w:rPr>
          <w:t>3. Gestion de la dotation et de la subvention de fonctionnement, ainsi que des ressources complémentaires</w:t>
        </w:r>
        <w:r>
          <w:rPr>
            <w:noProof/>
            <w:webHidden/>
          </w:rPr>
          <w:tab/>
        </w:r>
        <w:r>
          <w:rPr>
            <w:noProof/>
            <w:webHidden/>
          </w:rPr>
          <w:fldChar w:fldCharType="begin"/>
        </w:r>
        <w:r>
          <w:rPr>
            <w:noProof/>
            <w:webHidden/>
          </w:rPr>
          <w:instrText xml:space="preserve"> PAGEREF _Toc522700784 \h </w:instrText>
        </w:r>
        <w:r>
          <w:rPr>
            <w:noProof/>
            <w:webHidden/>
          </w:rPr>
        </w:r>
        <w:r>
          <w:rPr>
            <w:noProof/>
            <w:webHidden/>
          </w:rPr>
          <w:fldChar w:fldCharType="separate"/>
        </w:r>
        <w:r>
          <w:rPr>
            <w:noProof/>
            <w:webHidden/>
          </w:rPr>
          <w:t>62</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85" w:history="1">
        <w:r>
          <w:rPr>
            <w:rStyle w:val="Lienhypertexte"/>
            <w:noProof/>
          </w:rPr>
          <w:t>II. CONSEIL ZONAL DE L’ENSEIGNEMENT SECONDAIRE EN ALTErNANCE</w:t>
        </w:r>
        <w:r>
          <w:rPr>
            <w:noProof/>
            <w:webHidden/>
          </w:rPr>
          <w:tab/>
        </w:r>
        <w:r>
          <w:rPr>
            <w:noProof/>
            <w:webHidden/>
          </w:rPr>
          <w:fldChar w:fldCharType="begin"/>
        </w:r>
        <w:r>
          <w:rPr>
            <w:noProof/>
            <w:webHidden/>
          </w:rPr>
          <w:instrText xml:space="preserve"> PAGEREF _Toc522700785 \h </w:instrText>
        </w:r>
        <w:r>
          <w:rPr>
            <w:noProof/>
            <w:webHidden/>
          </w:rPr>
        </w:r>
        <w:r>
          <w:rPr>
            <w:noProof/>
            <w:webHidden/>
          </w:rPr>
          <w:fldChar w:fldCharType="separate"/>
        </w:r>
        <w:r>
          <w:rPr>
            <w:noProof/>
            <w:webHidden/>
          </w:rPr>
          <w:t>63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86" w:history="1">
        <w:r>
          <w:rPr>
            <w:rStyle w:val="Lienhypertexte"/>
            <w:noProof/>
          </w:rPr>
          <w:t xml:space="preserve">1. Composition </w:t>
        </w:r>
        <w:r>
          <w:rPr>
            <w:noProof/>
            <w:webHidden/>
          </w:rPr>
          <w:tab/>
        </w:r>
        <w:r>
          <w:rPr>
            <w:noProof/>
            <w:webHidden/>
          </w:rPr>
          <w:fldChar w:fldCharType="begin"/>
        </w:r>
        <w:r>
          <w:rPr>
            <w:noProof/>
            <w:webHidden/>
          </w:rPr>
          <w:instrText xml:space="preserve"> PAGEREF _Toc522700786 \h </w:instrText>
        </w:r>
        <w:r>
          <w:rPr>
            <w:noProof/>
            <w:webHidden/>
          </w:rPr>
        </w:r>
        <w:r>
          <w:rPr>
            <w:noProof/>
            <w:webHidden/>
          </w:rPr>
          <w:fldChar w:fldCharType="separate"/>
        </w:r>
        <w:r>
          <w:rPr>
            <w:noProof/>
            <w:webHidden/>
          </w:rPr>
          <w:t>63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87" w:history="1">
        <w:r>
          <w:rPr>
            <w:rStyle w:val="Lienhypertexte"/>
            <w:noProof/>
          </w:rPr>
          <w:t xml:space="preserve">2. Fonctionnement </w:t>
        </w:r>
        <w:r>
          <w:rPr>
            <w:noProof/>
            <w:webHidden/>
          </w:rPr>
          <w:tab/>
        </w:r>
        <w:r>
          <w:rPr>
            <w:noProof/>
            <w:webHidden/>
          </w:rPr>
          <w:fldChar w:fldCharType="begin"/>
        </w:r>
        <w:r>
          <w:rPr>
            <w:noProof/>
            <w:webHidden/>
          </w:rPr>
          <w:instrText xml:space="preserve"> PAGEREF _Toc522700787 \h </w:instrText>
        </w:r>
        <w:r>
          <w:rPr>
            <w:noProof/>
            <w:webHidden/>
          </w:rPr>
        </w:r>
        <w:r>
          <w:rPr>
            <w:noProof/>
            <w:webHidden/>
          </w:rPr>
          <w:fldChar w:fldCharType="separate"/>
        </w:r>
        <w:r>
          <w:rPr>
            <w:noProof/>
            <w:webHidden/>
          </w:rPr>
          <w:t>63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88" w:history="1">
        <w:r>
          <w:rPr>
            <w:rStyle w:val="Lienhypertexte"/>
            <w:noProof/>
          </w:rPr>
          <w:t xml:space="preserve">3. Missions </w:t>
        </w:r>
        <w:r>
          <w:rPr>
            <w:noProof/>
            <w:webHidden/>
          </w:rPr>
          <w:tab/>
        </w:r>
        <w:r>
          <w:rPr>
            <w:noProof/>
            <w:webHidden/>
          </w:rPr>
          <w:fldChar w:fldCharType="begin"/>
        </w:r>
        <w:r>
          <w:rPr>
            <w:noProof/>
            <w:webHidden/>
          </w:rPr>
          <w:instrText xml:space="preserve"> PAGEREF _Toc522700788 \h </w:instrText>
        </w:r>
        <w:r>
          <w:rPr>
            <w:noProof/>
            <w:webHidden/>
          </w:rPr>
        </w:r>
        <w:r>
          <w:rPr>
            <w:noProof/>
            <w:webHidden/>
          </w:rPr>
          <w:fldChar w:fldCharType="separate"/>
        </w:r>
        <w:r>
          <w:rPr>
            <w:noProof/>
            <w:webHidden/>
          </w:rPr>
          <w:t>63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89" w:history="1">
        <w:r>
          <w:rPr>
            <w:rStyle w:val="Lienhypertexte"/>
            <w:noProof/>
          </w:rPr>
          <w:t xml:space="preserve">4. Rapport annuel </w:t>
        </w:r>
        <w:r>
          <w:rPr>
            <w:noProof/>
            <w:webHidden/>
          </w:rPr>
          <w:tab/>
        </w:r>
        <w:r>
          <w:rPr>
            <w:noProof/>
            <w:webHidden/>
          </w:rPr>
          <w:fldChar w:fldCharType="begin"/>
        </w:r>
        <w:r>
          <w:rPr>
            <w:noProof/>
            <w:webHidden/>
          </w:rPr>
          <w:instrText xml:space="preserve"> PAGEREF _Toc522700789 \h </w:instrText>
        </w:r>
        <w:r>
          <w:rPr>
            <w:noProof/>
            <w:webHidden/>
          </w:rPr>
        </w:r>
        <w:r>
          <w:rPr>
            <w:noProof/>
            <w:webHidden/>
          </w:rPr>
          <w:fldChar w:fldCharType="separate"/>
        </w:r>
        <w:r>
          <w:rPr>
            <w:noProof/>
            <w:webHidden/>
          </w:rPr>
          <w:t>64</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522700790" w:history="1">
        <w:r>
          <w:rPr>
            <w:rStyle w:val="Lienhypertexte"/>
            <w:noProof/>
          </w:rPr>
          <w:t>CHAPITRE V : DISPOSITIONS RELATIVES A L'ORGANISATION DE CERTAINS COURS</w:t>
        </w:r>
        <w:r>
          <w:rPr>
            <w:noProof/>
            <w:webHidden/>
          </w:rPr>
          <w:tab/>
        </w:r>
        <w:r>
          <w:rPr>
            <w:noProof/>
            <w:webHidden/>
          </w:rPr>
          <w:fldChar w:fldCharType="begin"/>
        </w:r>
        <w:r>
          <w:rPr>
            <w:noProof/>
            <w:webHidden/>
          </w:rPr>
          <w:instrText xml:space="preserve"> PAGEREF _Toc522700790 \h </w:instrText>
        </w:r>
        <w:r>
          <w:rPr>
            <w:noProof/>
            <w:webHidden/>
          </w:rPr>
        </w:r>
        <w:r>
          <w:rPr>
            <w:noProof/>
            <w:webHidden/>
          </w:rPr>
          <w:fldChar w:fldCharType="separate"/>
        </w:r>
        <w:r>
          <w:rPr>
            <w:noProof/>
            <w:webHidden/>
          </w:rPr>
          <w:t>65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91" w:history="1">
        <w:r>
          <w:rPr>
            <w:rStyle w:val="Lienhypertexte"/>
            <w:noProof/>
          </w:rPr>
          <w:t>i. Possibilités de regroupement</w:t>
        </w:r>
        <w:r>
          <w:rPr>
            <w:noProof/>
            <w:webHidden/>
          </w:rPr>
          <w:tab/>
        </w:r>
        <w:r>
          <w:rPr>
            <w:noProof/>
            <w:webHidden/>
          </w:rPr>
          <w:fldChar w:fldCharType="begin"/>
        </w:r>
        <w:r>
          <w:rPr>
            <w:noProof/>
            <w:webHidden/>
          </w:rPr>
          <w:instrText xml:space="preserve"> PAGEREF _Toc522700791 \h </w:instrText>
        </w:r>
        <w:r>
          <w:rPr>
            <w:noProof/>
            <w:webHidden/>
          </w:rPr>
        </w:r>
        <w:r>
          <w:rPr>
            <w:noProof/>
            <w:webHidden/>
          </w:rPr>
          <w:fldChar w:fldCharType="separate"/>
        </w:r>
        <w:r>
          <w:rPr>
            <w:noProof/>
            <w:webHidden/>
          </w:rPr>
          <w:t>65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92" w:history="1">
        <w:r>
          <w:rPr>
            <w:rStyle w:val="Lienhypertexte"/>
            <w:noProof/>
          </w:rPr>
          <w:t xml:space="preserve">II. Cours de langue moderne </w:t>
        </w:r>
        <w:r>
          <w:rPr>
            <w:noProof/>
            <w:webHidden/>
          </w:rPr>
          <w:tab/>
        </w:r>
        <w:r>
          <w:rPr>
            <w:noProof/>
            <w:webHidden/>
          </w:rPr>
          <w:fldChar w:fldCharType="begin"/>
        </w:r>
        <w:r>
          <w:rPr>
            <w:noProof/>
            <w:webHidden/>
          </w:rPr>
          <w:instrText xml:space="preserve"> PAGEREF _Toc522700792 \h </w:instrText>
        </w:r>
        <w:r>
          <w:rPr>
            <w:noProof/>
            <w:webHidden/>
          </w:rPr>
        </w:r>
        <w:r>
          <w:rPr>
            <w:noProof/>
            <w:webHidden/>
          </w:rPr>
          <w:fldChar w:fldCharType="separate"/>
        </w:r>
        <w:r>
          <w:rPr>
            <w:noProof/>
            <w:webHidden/>
          </w:rPr>
          <w:t>65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93" w:history="1">
        <w:r>
          <w:rPr>
            <w:rStyle w:val="Lienhypertexte"/>
            <w:noProof/>
          </w:rPr>
          <w:t>III. possibilités de ne poursuivre que la formation qualifiante</w:t>
        </w:r>
        <w:r>
          <w:rPr>
            <w:noProof/>
            <w:webHidden/>
          </w:rPr>
          <w:tab/>
        </w:r>
        <w:r>
          <w:rPr>
            <w:noProof/>
            <w:webHidden/>
          </w:rPr>
          <w:fldChar w:fldCharType="begin"/>
        </w:r>
        <w:r>
          <w:rPr>
            <w:noProof/>
            <w:webHidden/>
          </w:rPr>
          <w:instrText xml:space="preserve"> PAGEREF _Toc522700793 \h </w:instrText>
        </w:r>
        <w:r>
          <w:rPr>
            <w:noProof/>
            <w:webHidden/>
          </w:rPr>
        </w:r>
        <w:r>
          <w:rPr>
            <w:noProof/>
            <w:webHidden/>
          </w:rPr>
          <w:fldChar w:fldCharType="separate"/>
        </w:r>
        <w:r>
          <w:rPr>
            <w:noProof/>
            <w:webHidden/>
          </w:rPr>
          <w:t>65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94" w:history="1">
        <w:r>
          <w:rPr>
            <w:rStyle w:val="Lienhypertexte"/>
            <w:noProof/>
          </w:rPr>
          <w:t>IV. Accompagnement social</w:t>
        </w:r>
        <w:r>
          <w:rPr>
            <w:noProof/>
            <w:webHidden/>
          </w:rPr>
          <w:tab/>
        </w:r>
        <w:r>
          <w:rPr>
            <w:noProof/>
            <w:webHidden/>
          </w:rPr>
          <w:fldChar w:fldCharType="begin"/>
        </w:r>
        <w:r>
          <w:rPr>
            <w:noProof/>
            <w:webHidden/>
          </w:rPr>
          <w:instrText xml:space="preserve"> PAGEREF _Toc522700794 \h </w:instrText>
        </w:r>
        <w:r>
          <w:rPr>
            <w:noProof/>
            <w:webHidden/>
          </w:rPr>
        </w:r>
        <w:r>
          <w:rPr>
            <w:noProof/>
            <w:webHidden/>
          </w:rPr>
          <w:fldChar w:fldCharType="separate"/>
        </w:r>
        <w:r>
          <w:rPr>
            <w:noProof/>
            <w:webHidden/>
          </w:rPr>
          <w:t>66</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522700795" w:history="1">
        <w:r>
          <w:rPr>
            <w:rStyle w:val="Lienhypertexte"/>
            <w:noProof/>
          </w:rPr>
          <w:t>CHAPITRE VI : PROGRAMMATION, ORGANISATION, NORMES DE CREATION, REPERTOIRE DES OPTIONS DE BASE</w:t>
        </w:r>
        <w:r>
          <w:rPr>
            <w:noProof/>
            <w:webHidden/>
          </w:rPr>
          <w:tab/>
        </w:r>
        <w:r>
          <w:rPr>
            <w:noProof/>
            <w:webHidden/>
          </w:rPr>
          <w:fldChar w:fldCharType="begin"/>
        </w:r>
        <w:r>
          <w:rPr>
            <w:noProof/>
            <w:webHidden/>
          </w:rPr>
          <w:instrText xml:space="preserve"> PAGEREF _Toc522700795 \h </w:instrText>
        </w:r>
        <w:r>
          <w:rPr>
            <w:noProof/>
            <w:webHidden/>
          </w:rPr>
        </w:r>
        <w:r>
          <w:rPr>
            <w:noProof/>
            <w:webHidden/>
          </w:rPr>
          <w:fldChar w:fldCharType="separate"/>
        </w:r>
        <w:r>
          <w:rPr>
            <w:noProof/>
            <w:webHidden/>
          </w:rPr>
          <w:t>67</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96" w:history="1">
        <w:r>
          <w:rPr>
            <w:rStyle w:val="Lienhypertexte"/>
            <w:noProof/>
          </w:rPr>
          <w:t xml:space="preserve">I. ORGANISATION DES  « ARTICLE 45 » </w:t>
        </w:r>
        <w:r>
          <w:rPr>
            <w:noProof/>
            <w:webHidden/>
          </w:rPr>
          <w:tab/>
        </w:r>
        <w:r>
          <w:rPr>
            <w:noProof/>
            <w:webHidden/>
          </w:rPr>
          <w:fldChar w:fldCharType="begin"/>
        </w:r>
        <w:r>
          <w:rPr>
            <w:noProof/>
            <w:webHidden/>
          </w:rPr>
          <w:instrText xml:space="preserve"> PAGEREF _Toc522700796 \h </w:instrText>
        </w:r>
        <w:r>
          <w:rPr>
            <w:noProof/>
            <w:webHidden/>
          </w:rPr>
        </w:r>
        <w:r>
          <w:rPr>
            <w:noProof/>
            <w:webHidden/>
          </w:rPr>
          <w:fldChar w:fldCharType="separate"/>
        </w:r>
        <w:r>
          <w:rPr>
            <w:noProof/>
            <w:webHidden/>
          </w:rPr>
          <w:t>67</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797" w:history="1">
        <w:r>
          <w:rPr>
            <w:rStyle w:val="Lienhypertexte"/>
            <w:noProof/>
          </w:rPr>
          <w:t>II. Règles de programmation des FORMATIONS « article 49 »</w:t>
        </w:r>
        <w:r>
          <w:rPr>
            <w:noProof/>
            <w:webHidden/>
          </w:rPr>
          <w:tab/>
        </w:r>
        <w:r>
          <w:rPr>
            <w:noProof/>
            <w:webHidden/>
          </w:rPr>
          <w:fldChar w:fldCharType="begin"/>
        </w:r>
        <w:r>
          <w:rPr>
            <w:noProof/>
            <w:webHidden/>
          </w:rPr>
          <w:instrText xml:space="preserve"> PAGEREF _Toc522700797 \h </w:instrText>
        </w:r>
        <w:r>
          <w:rPr>
            <w:noProof/>
            <w:webHidden/>
          </w:rPr>
        </w:r>
        <w:r>
          <w:rPr>
            <w:noProof/>
            <w:webHidden/>
          </w:rPr>
          <w:fldChar w:fldCharType="separate"/>
        </w:r>
        <w:r>
          <w:rPr>
            <w:noProof/>
            <w:webHidden/>
          </w:rPr>
          <w:t>68</w:t>
        </w:r>
        <w:r>
          <w:rPr>
            <w:noProof/>
            <w:webHidden/>
          </w:rPr>
          <w:fldChar w:fldCharType="end"/>
        </w:r>
      </w:hyperlink>
    </w:p>
    <w:p>
      <w:pPr>
        <w:pStyle w:val="TM3"/>
        <w:ind w:left="567" w:hanging="167"/>
        <w:rPr>
          <w:rFonts w:asciiTheme="minorHAnsi" w:eastAsiaTheme="minorEastAsia" w:hAnsiTheme="minorHAnsi" w:cstheme="minorBidi"/>
          <w:noProof/>
          <w:sz w:val="22"/>
          <w:szCs w:val="22"/>
          <w:lang w:eastAsia="fr-BE"/>
        </w:rPr>
      </w:pPr>
      <w:hyperlink w:anchor="_Toc522700798" w:history="1">
        <w:r>
          <w:rPr>
            <w:rStyle w:val="Lienhypertexte"/>
            <w:noProof/>
          </w:rPr>
          <w:t>1. Programmation d’une option de base groupée simultanément dans l’enseignement secondaire en alternance et dans le plein exercice</w:t>
        </w:r>
        <w:r>
          <w:rPr>
            <w:noProof/>
            <w:webHidden/>
          </w:rPr>
          <w:tab/>
        </w:r>
        <w:r>
          <w:rPr>
            <w:noProof/>
            <w:webHidden/>
          </w:rPr>
          <w:fldChar w:fldCharType="begin"/>
        </w:r>
        <w:r>
          <w:rPr>
            <w:noProof/>
            <w:webHidden/>
          </w:rPr>
          <w:instrText xml:space="preserve"> PAGEREF _Toc522700798 \h </w:instrText>
        </w:r>
        <w:r>
          <w:rPr>
            <w:noProof/>
            <w:webHidden/>
          </w:rPr>
        </w:r>
        <w:r>
          <w:rPr>
            <w:noProof/>
            <w:webHidden/>
          </w:rPr>
          <w:fldChar w:fldCharType="separate"/>
        </w:r>
        <w:r>
          <w:rPr>
            <w:noProof/>
            <w:webHidden/>
          </w:rPr>
          <w:t>69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799" w:history="1">
        <w:r>
          <w:rPr>
            <w:rStyle w:val="Lienhypertexte"/>
            <w:noProof/>
          </w:rPr>
          <w:t xml:space="preserve">2. Programmation d’une option de base groupée uniquement dans l’enseignement secondaire en alternance </w:t>
        </w:r>
        <w:r>
          <w:rPr>
            <w:noProof/>
            <w:webHidden/>
          </w:rPr>
          <w:tab/>
        </w:r>
        <w:r>
          <w:rPr>
            <w:noProof/>
            <w:webHidden/>
          </w:rPr>
          <w:fldChar w:fldCharType="begin"/>
        </w:r>
        <w:r>
          <w:rPr>
            <w:noProof/>
            <w:webHidden/>
          </w:rPr>
          <w:instrText xml:space="preserve"> PAGEREF _Toc522700799 \h </w:instrText>
        </w:r>
        <w:r>
          <w:rPr>
            <w:noProof/>
            <w:webHidden/>
          </w:rPr>
        </w:r>
        <w:r>
          <w:rPr>
            <w:noProof/>
            <w:webHidden/>
          </w:rPr>
          <w:fldChar w:fldCharType="separate"/>
        </w:r>
        <w:r>
          <w:rPr>
            <w:noProof/>
            <w:webHidden/>
          </w:rPr>
          <w:t>70</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00" w:history="1">
        <w:r>
          <w:rPr>
            <w:rStyle w:val="Lienhypertexte"/>
            <w:noProof/>
          </w:rPr>
          <w:t xml:space="preserve">3. Dédoublement d’une option de base groupée qui est déjà organisée dans l’enseignement de plein exercice </w:t>
        </w:r>
        <w:r>
          <w:rPr>
            <w:noProof/>
            <w:webHidden/>
          </w:rPr>
          <w:tab/>
        </w:r>
        <w:r>
          <w:rPr>
            <w:noProof/>
            <w:webHidden/>
          </w:rPr>
          <w:fldChar w:fldCharType="begin"/>
        </w:r>
        <w:r>
          <w:rPr>
            <w:noProof/>
            <w:webHidden/>
          </w:rPr>
          <w:instrText xml:space="preserve"> PAGEREF _Toc522700800 \h </w:instrText>
        </w:r>
        <w:r>
          <w:rPr>
            <w:noProof/>
            <w:webHidden/>
          </w:rPr>
        </w:r>
        <w:r>
          <w:rPr>
            <w:noProof/>
            <w:webHidden/>
          </w:rPr>
          <w:fldChar w:fldCharType="separate"/>
        </w:r>
        <w:r>
          <w:rPr>
            <w:noProof/>
            <w:webHidden/>
          </w:rPr>
          <w:t>71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01" w:history="1">
        <w:r>
          <w:rPr>
            <w:rStyle w:val="Lienhypertexte"/>
            <w:noProof/>
          </w:rPr>
          <w:t xml:space="preserve">4. Délégation d’une option de base groupée qui sera organisée dans l’enseignement secondaire en alternance </w:t>
        </w:r>
        <w:r>
          <w:rPr>
            <w:noProof/>
            <w:webHidden/>
          </w:rPr>
          <w:tab/>
        </w:r>
        <w:r>
          <w:rPr>
            <w:noProof/>
            <w:webHidden/>
          </w:rPr>
          <w:fldChar w:fldCharType="begin"/>
        </w:r>
        <w:r>
          <w:rPr>
            <w:noProof/>
            <w:webHidden/>
          </w:rPr>
          <w:instrText xml:space="preserve"> PAGEREF _Toc522700801 \h </w:instrText>
        </w:r>
        <w:r>
          <w:rPr>
            <w:noProof/>
            <w:webHidden/>
          </w:rPr>
        </w:r>
        <w:r>
          <w:rPr>
            <w:noProof/>
            <w:webHidden/>
          </w:rPr>
          <w:fldChar w:fldCharType="separate"/>
        </w:r>
        <w:r>
          <w:rPr>
            <w:noProof/>
            <w:webHidden/>
          </w:rPr>
          <w:t>71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02" w:history="1">
        <w:r>
          <w:rPr>
            <w:rStyle w:val="Lienhypertexte"/>
            <w:noProof/>
          </w:rPr>
          <w:t>III. NORMES DE CREATION</w:t>
        </w:r>
        <w:r>
          <w:rPr>
            <w:noProof/>
            <w:webHidden/>
          </w:rPr>
          <w:tab/>
        </w:r>
        <w:r>
          <w:rPr>
            <w:noProof/>
            <w:webHidden/>
          </w:rPr>
          <w:fldChar w:fldCharType="begin"/>
        </w:r>
        <w:r>
          <w:rPr>
            <w:noProof/>
            <w:webHidden/>
          </w:rPr>
          <w:instrText xml:space="preserve"> PAGEREF _Toc522700802 \h </w:instrText>
        </w:r>
        <w:r>
          <w:rPr>
            <w:noProof/>
            <w:webHidden/>
          </w:rPr>
        </w:r>
        <w:r>
          <w:rPr>
            <w:noProof/>
            <w:webHidden/>
          </w:rPr>
          <w:fldChar w:fldCharType="separate"/>
        </w:r>
        <w:r>
          <w:rPr>
            <w:noProof/>
            <w:webHidden/>
          </w:rPr>
          <w:t>74</w:t>
        </w:r>
        <w:r>
          <w:rPr>
            <w:noProof/>
            <w:webHidden/>
          </w:rPr>
          <w:fldChar w:fldCharType="end"/>
        </w:r>
      </w:hyperlink>
    </w:p>
    <w:p>
      <w:pPr>
        <w:pStyle w:val="TM3"/>
        <w:ind w:left="567" w:hanging="167"/>
        <w:rPr>
          <w:rFonts w:asciiTheme="minorHAnsi" w:eastAsiaTheme="minorEastAsia" w:hAnsiTheme="minorHAnsi" w:cstheme="minorBidi"/>
          <w:noProof/>
          <w:sz w:val="22"/>
          <w:szCs w:val="22"/>
          <w:lang w:eastAsia="fr-BE"/>
        </w:rPr>
      </w:pPr>
      <w:hyperlink w:anchor="_Toc522700803" w:history="1">
        <w:r>
          <w:rPr>
            <w:rStyle w:val="Lienhypertexte"/>
            <w:noProof/>
          </w:rPr>
          <w:t>1. Normes de création au 2</w:t>
        </w:r>
        <w:r>
          <w:rPr>
            <w:rStyle w:val="Lienhypertexte"/>
            <w:noProof/>
            <w:vertAlign w:val="superscript"/>
          </w:rPr>
          <w:t>ème</w:t>
        </w:r>
        <w:r>
          <w:rPr>
            <w:rStyle w:val="Lienhypertexte"/>
            <w:noProof/>
          </w:rPr>
          <w:t xml:space="preserve"> et au 3</w:t>
        </w:r>
        <w:r>
          <w:rPr>
            <w:rStyle w:val="Lienhypertexte"/>
            <w:noProof/>
            <w:vertAlign w:val="superscript"/>
          </w:rPr>
          <w:t>ème</w:t>
        </w:r>
        <w:r>
          <w:rPr>
            <w:rStyle w:val="Lienhypertexte"/>
            <w:noProof/>
          </w:rPr>
          <w:t xml:space="preserve"> degrés pour les options relevant de l’application de l’article 45 du décret « Missions »</w:t>
        </w:r>
        <w:r>
          <w:rPr>
            <w:noProof/>
            <w:webHidden/>
          </w:rPr>
          <w:tab/>
        </w:r>
        <w:r>
          <w:rPr>
            <w:noProof/>
            <w:webHidden/>
          </w:rPr>
          <w:fldChar w:fldCharType="begin"/>
        </w:r>
        <w:r>
          <w:rPr>
            <w:noProof/>
            <w:webHidden/>
          </w:rPr>
          <w:instrText xml:space="preserve"> PAGEREF _Toc522700803 \h </w:instrText>
        </w:r>
        <w:r>
          <w:rPr>
            <w:noProof/>
            <w:webHidden/>
          </w:rPr>
        </w:r>
        <w:r>
          <w:rPr>
            <w:noProof/>
            <w:webHidden/>
          </w:rPr>
          <w:fldChar w:fldCharType="separate"/>
        </w:r>
        <w:r>
          <w:rPr>
            <w:noProof/>
            <w:webHidden/>
          </w:rPr>
          <w:t>74</w:t>
        </w:r>
        <w:r>
          <w:rPr>
            <w:noProof/>
            <w:webHidden/>
          </w:rPr>
          <w:fldChar w:fldCharType="end"/>
        </w:r>
      </w:hyperlink>
    </w:p>
    <w:p>
      <w:pPr>
        <w:pStyle w:val="TM3"/>
        <w:ind w:left="567" w:hanging="167"/>
        <w:rPr>
          <w:rFonts w:asciiTheme="minorHAnsi" w:eastAsiaTheme="minorEastAsia" w:hAnsiTheme="minorHAnsi" w:cstheme="minorBidi"/>
          <w:noProof/>
          <w:sz w:val="22"/>
          <w:szCs w:val="22"/>
          <w:lang w:eastAsia="fr-BE"/>
        </w:rPr>
      </w:pPr>
      <w:hyperlink w:anchor="_Toc522700804" w:history="1">
        <w:r>
          <w:rPr>
            <w:rStyle w:val="Lienhypertexte"/>
            <w:noProof/>
          </w:rPr>
          <w:t>2. Normes de création au 2</w:t>
        </w:r>
        <w:r>
          <w:rPr>
            <w:rStyle w:val="Lienhypertexte"/>
            <w:noProof/>
            <w:vertAlign w:val="superscript"/>
          </w:rPr>
          <w:t>ème</w:t>
        </w:r>
        <w:r>
          <w:rPr>
            <w:rStyle w:val="Lienhypertexte"/>
            <w:noProof/>
          </w:rPr>
          <w:t xml:space="preserve"> et au 3</w:t>
        </w:r>
        <w:r>
          <w:rPr>
            <w:rStyle w:val="Lienhypertexte"/>
            <w:noProof/>
            <w:vertAlign w:val="superscript"/>
          </w:rPr>
          <w:t>ème</w:t>
        </w:r>
        <w:r>
          <w:rPr>
            <w:rStyle w:val="Lienhypertexte"/>
            <w:noProof/>
            <w:spacing w:val="-4"/>
          </w:rPr>
          <w:t xml:space="preserve"> </w:t>
        </w:r>
        <w:r>
          <w:rPr>
            <w:rStyle w:val="Lienhypertexte"/>
            <w:noProof/>
          </w:rPr>
          <w:t xml:space="preserve"> degrés pour les options relevant de l’application de l’article 49 du décret « Missions »</w:t>
        </w:r>
        <w:r>
          <w:rPr>
            <w:noProof/>
            <w:webHidden/>
          </w:rPr>
          <w:tab/>
        </w:r>
        <w:r>
          <w:rPr>
            <w:noProof/>
            <w:webHidden/>
          </w:rPr>
          <w:fldChar w:fldCharType="begin"/>
        </w:r>
        <w:r>
          <w:rPr>
            <w:noProof/>
            <w:webHidden/>
          </w:rPr>
          <w:instrText xml:space="preserve"> PAGEREF _Toc522700804 \h </w:instrText>
        </w:r>
        <w:r>
          <w:rPr>
            <w:noProof/>
            <w:webHidden/>
          </w:rPr>
        </w:r>
        <w:r>
          <w:rPr>
            <w:noProof/>
            <w:webHidden/>
          </w:rPr>
          <w:fldChar w:fldCharType="separate"/>
        </w:r>
        <w:r>
          <w:rPr>
            <w:noProof/>
            <w:webHidden/>
          </w:rPr>
          <w:t>74</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05" w:history="1">
        <w:r>
          <w:rPr>
            <w:rStyle w:val="Lienhypertexte"/>
            <w:noProof/>
            <w:spacing w:val="-2"/>
          </w:rPr>
          <w:t>3. Normes de création d’une option dans le régime de la ‘CPU 4-5-6’ au 1</w:t>
        </w:r>
        <w:r>
          <w:rPr>
            <w:rStyle w:val="Lienhypertexte"/>
            <w:noProof/>
            <w:spacing w:val="-2"/>
            <w:vertAlign w:val="superscript"/>
          </w:rPr>
          <w:t>er</w:t>
        </w:r>
        <w:r>
          <w:rPr>
            <w:rStyle w:val="Lienhypertexte"/>
            <w:noProof/>
            <w:spacing w:val="-2"/>
          </w:rPr>
          <w:t xml:space="preserve"> septembre 2018  </w:t>
        </w:r>
        <w:r>
          <w:rPr>
            <w:noProof/>
            <w:webHidden/>
          </w:rPr>
          <w:tab/>
        </w:r>
        <w:r>
          <w:rPr>
            <w:noProof/>
            <w:webHidden/>
          </w:rPr>
          <w:fldChar w:fldCharType="begin"/>
        </w:r>
        <w:r>
          <w:rPr>
            <w:noProof/>
            <w:webHidden/>
          </w:rPr>
          <w:instrText xml:space="preserve"> PAGEREF _Toc522700805 \h </w:instrText>
        </w:r>
        <w:r>
          <w:rPr>
            <w:noProof/>
            <w:webHidden/>
          </w:rPr>
        </w:r>
        <w:r>
          <w:rPr>
            <w:noProof/>
            <w:webHidden/>
          </w:rPr>
          <w:fldChar w:fldCharType="separate"/>
        </w:r>
        <w:r>
          <w:rPr>
            <w:noProof/>
            <w:webHidden/>
          </w:rPr>
          <w:t>75</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06" w:history="1">
        <w:r>
          <w:rPr>
            <w:rStyle w:val="Lienhypertexte"/>
            <w:noProof/>
            <w:spacing w:val="-2"/>
          </w:rPr>
          <w:t xml:space="preserve">4. </w:t>
        </w:r>
        <w:r>
          <w:rPr>
            <w:rStyle w:val="Lienhypertexte"/>
            <w:noProof/>
          </w:rPr>
          <w:t>Normes de création applicables aux langues modernes</w:t>
        </w:r>
        <w:r>
          <w:rPr>
            <w:noProof/>
            <w:webHidden/>
          </w:rPr>
          <w:tab/>
        </w:r>
        <w:r>
          <w:rPr>
            <w:noProof/>
            <w:webHidden/>
          </w:rPr>
          <w:fldChar w:fldCharType="begin"/>
        </w:r>
        <w:r>
          <w:rPr>
            <w:noProof/>
            <w:webHidden/>
          </w:rPr>
          <w:instrText xml:space="preserve"> PAGEREF _Toc522700806 \h </w:instrText>
        </w:r>
        <w:r>
          <w:rPr>
            <w:noProof/>
            <w:webHidden/>
          </w:rPr>
        </w:r>
        <w:r>
          <w:rPr>
            <w:noProof/>
            <w:webHidden/>
          </w:rPr>
          <w:fldChar w:fldCharType="separate"/>
        </w:r>
        <w:r>
          <w:rPr>
            <w:noProof/>
            <w:webHidden/>
          </w:rPr>
          <w:t>76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07" w:history="1">
        <w:r>
          <w:rPr>
            <w:rStyle w:val="Lienhypertexte"/>
            <w:noProof/>
            <w:spacing w:val="-2"/>
          </w:rPr>
          <w:t xml:space="preserve">5. Normes </w:t>
        </w:r>
        <w:r>
          <w:rPr>
            <w:rStyle w:val="Lienhypertexte"/>
            <w:noProof/>
          </w:rPr>
          <w:t>de création applicables lors de l’ouverture d’un degré dans une forme et une section d’enseignement</w:t>
        </w:r>
        <w:r>
          <w:rPr>
            <w:noProof/>
            <w:webHidden/>
          </w:rPr>
          <w:tab/>
        </w:r>
        <w:r>
          <w:rPr>
            <w:noProof/>
            <w:webHidden/>
          </w:rPr>
          <w:fldChar w:fldCharType="begin"/>
        </w:r>
        <w:r>
          <w:rPr>
            <w:noProof/>
            <w:webHidden/>
          </w:rPr>
          <w:instrText xml:space="preserve"> PAGEREF _Toc522700807 \h </w:instrText>
        </w:r>
        <w:r>
          <w:rPr>
            <w:noProof/>
            <w:webHidden/>
          </w:rPr>
        </w:r>
        <w:r>
          <w:rPr>
            <w:noProof/>
            <w:webHidden/>
          </w:rPr>
          <w:fldChar w:fldCharType="separate"/>
        </w:r>
        <w:r>
          <w:rPr>
            <w:noProof/>
            <w:webHidden/>
          </w:rPr>
          <w:t>76</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08" w:history="1">
        <w:r>
          <w:rPr>
            <w:rStyle w:val="Lienhypertexte"/>
            <w:noProof/>
            <w:spacing w:val="-2"/>
          </w:rPr>
          <w:t>IV. LISTE DES OPTIONS DE BASE GROUPEES</w:t>
        </w:r>
        <w:r>
          <w:rPr>
            <w:noProof/>
            <w:webHidden/>
          </w:rPr>
          <w:tab/>
        </w:r>
        <w:r>
          <w:rPr>
            <w:noProof/>
            <w:webHidden/>
          </w:rPr>
          <w:fldChar w:fldCharType="begin"/>
        </w:r>
        <w:r>
          <w:rPr>
            <w:noProof/>
            <w:webHidden/>
          </w:rPr>
          <w:instrText xml:space="preserve"> PAGEREF _Toc522700808 \h </w:instrText>
        </w:r>
        <w:r>
          <w:rPr>
            <w:noProof/>
            <w:webHidden/>
          </w:rPr>
        </w:r>
        <w:r>
          <w:rPr>
            <w:noProof/>
            <w:webHidden/>
          </w:rPr>
          <w:fldChar w:fldCharType="separate"/>
        </w:r>
        <w:r>
          <w:rPr>
            <w:noProof/>
            <w:webHidden/>
          </w:rPr>
          <w:t>77</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09" w:history="1">
        <w:r>
          <w:rPr>
            <w:rStyle w:val="Lienhypertexte"/>
            <w:noProof/>
          </w:rPr>
          <w:t>1</w:t>
        </w:r>
        <w:r>
          <w:rPr>
            <w:rStyle w:val="Lienhypertexte"/>
            <w:rFonts w:cs="Book Antiqua"/>
            <w:noProof/>
            <w:spacing w:val="-2"/>
          </w:rPr>
          <w:t xml:space="preserve">. Répertoire des options article 45 du décret </w:t>
        </w:r>
        <w:r>
          <w:rPr>
            <w:rStyle w:val="Lienhypertexte"/>
            <w:noProof/>
          </w:rPr>
          <w:t>« Missions »</w:t>
        </w:r>
        <w:r>
          <w:rPr>
            <w:noProof/>
            <w:webHidden/>
          </w:rPr>
          <w:tab/>
        </w:r>
        <w:r>
          <w:rPr>
            <w:noProof/>
            <w:webHidden/>
          </w:rPr>
          <w:fldChar w:fldCharType="begin"/>
        </w:r>
        <w:r>
          <w:rPr>
            <w:noProof/>
            <w:webHidden/>
          </w:rPr>
          <w:instrText xml:space="preserve"> PAGEREF _Toc522700809 \h </w:instrText>
        </w:r>
        <w:r>
          <w:rPr>
            <w:noProof/>
            <w:webHidden/>
          </w:rPr>
        </w:r>
        <w:r>
          <w:rPr>
            <w:noProof/>
            <w:webHidden/>
          </w:rPr>
          <w:fldChar w:fldCharType="separate"/>
        </w:r>
        <w:r>
          <w:rPr>
            <w:noProof/>
            <w:webHidden/>
          </w:rPr>
          <w:t>77</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10" w:history="1">
        <w:r>
          <w:rPr>
            <w:rStyle w:val="Lienhypertexte"/>
            <w:noProof/>
          </w:rPr>
          <w:t>2. Formations qui, ne correspondant pas à un profil de formation spécifique, sont organisées en urgence</w:t>
        </w:r>
        <w:r>
          <w:rPr>
            <w:noProof/>
            <w:webHidden/>
          </w:rPr>
          <w:tab/>
        </w:r>
        <w:r>
          <w:rPr>
            <w:noProof/>
            <w:webHidden/>
          </w:rPr>
          <w:fldChar w:fldCharType="begin"/>
        </w:r>
        <w:r>
          <w:rPr>
            <w:noProof/>
            <w:webHidden/>
          </w:rPr>
          <w:instrText xml:space="preserve"> PAGEREF _Toc522700810 \h </w:instrText>
        </w:r>
        <w:r>
          <w:rPr>
            <w:noProof/>
            <w:webHidden/>
          </w:rPr>
        </w:r>
        <w:r>
          <w:rPr>
            <w:noProof/>
            <w:webHidden/>
          </w:rPr>
          <w:fldChar w:fldCharType="separate"/>
        </w:r>
        <w:r>
          <w:rPr>
            <w:noProof/>
            <w:webHidden/>
          </w:rPr>
          <w:t>79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11" w:history="1">
        <w:r>
          <w:rPr>
            <w:rStyle w:val="Lienhypertexte"/>
            <w:noProof/>
          </w:rPr>
          <w:t>3. Répertoire des options de base groupées des 2</w:t>
        </w:r>
        <w:r>
          <w:rPr>
            <w:rStyle w:val="Lienhypertexte"/>
            <w:noProof/>
            <w:vertAlign w:val="superscript"/>
          </w:rPr>
          <w:t>ème</w:t>
        </w:r>
        <w:r>
          <w:rPr>
            <w:rStyle w:val="Lienhypertexte"/>
            <w:noProof/>
          </w:rPr>
          <w:t xml:space="preserve"> et 3</w:t>
        </w:r>
        <w:r>
          <w:rPr>
            <w:rStyle w:val="Lienhypertexte"/>
            <w:noProof/>
            <w:vertAlign w:val="superscript"/>
          </w:rPr>
          <w:t>ème</w:t>
        </w:r>
        <w:r>
          <w:rPr>
            <w:rStyle w:val="Lienhypertexte"/>
            <w:noProof/>
          </w:rPr>
          <w:t xml:space="preserve"> degrés </w:t>
        </w:r>
        <w:r>
          <w:rPr>
            <w:rStyle w:val="Lienhypertexte"/>
            <w:rFonts w:cs="Book Antiqua"/>
            <w:caps/>
            <w:noProof/>
            <w:spacing w:val="-3"/>
            <w:lang w:val="fr-FR"/>
          </w:rPr>
          <w:t>(« Article 49 »)</w:t>
        </w:r>
        <w:r>
          <w:rPr>
            <w:noProof/>
            <w:webHidden/>
          </w:rPr>
          <w:tab/>
        </w:r>
        <w:r>
          <w:rPr>
            <w:noProof/>
            <w:webHidden/>
          </w:rPr>
          <w:fldChar w:fldCharType="begin"/>
        </w:r>
        <w:r>
          <w:rPr>
            <w:noProof/>
            <w:webHidden/>
          </w:rPr>
          <w:instrText xml:space="preserve"> PAGEREF _Toc522700811 \h </w:instrText>
        </w:r>
        <w:r>
          <w:rPr>
            <w:noProof/>
            <w:webHidden/>
          </w:rPr>
        </w:r>
        <w:r>
          <w:rPr>
            <w:noProof/>
            <w:webHidden/>
          </w:rPr>
          <w:fldChar w:fldCharType="separate"/>
        </w:r>
        <w:r>
          <w:rPr>
            <w:noProof/>
            <w:webHidden/>
          </w:rPr>
          <w:t>81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12" w:history="1">
        <w:r>
          <w:rPr>
            <w:rStyle w:val="Lienhypertexte"/>
            <w:noProof/>
          </w:rPr>
          <w:t>4. Répertoire des options de base groupées des 7</w:t>
        </w:r>
        <w:r>
          <w:rPr>
            <w:rStyle w:val="Lienhypertexte"/>
            <w:noProof/>
            <w:vertAlign w:val="superscript"/>
          </w:rPr>
          <w:t>èmes</w:t>
        </w:r>
        <w:r>
          <w:rPr>
            <w:rStyle w:val="Lienhypertexte"/>
            <w:noProof/>
          </w:rPr>
          <w:t xml:space="preserve"> années qualifiantes</w:t>
        </w:r>
        <w:r>
          <w:rPr>
            <w:noProof/>
            <w:webHidden/>
          </w:rPr>
          <w:tab/>
        </w:r>
        <w:r>
          <w:rPr>
            <w:noProof/>
            <w:webHidden/>
          </w:rPr>
          <w:fldChar w:fldCharType="begin"/>
        </w:r>
        <w:r>
          <w:rPr>
            <w:noProof/>
            <w:webHidden/>
          </w:rPr>
          <w:instrText xml:space="preserve"> PAGEREF _Toc522700812 \h </w:instrText>
        </w:r>
        <w:r>
          <w:rPr>
            <w:noProof/>
            <w:webHidden/>
          </w:rPr>
        </w:r>
        <w:r>
          <w:rPr>
            <w:noProof/>
            <w:webHidden/>
          </w:rPr>
          <w:fldChar w:fldCharType="separate"/>
        </w:r>
        <w:r>
          <w:rPr>
            <w:noProof/>
            <w:webHidden/>
          </w:rPr>
          <w:t>86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13" w:history="1">
        <w:r>
          <w:rPr>
            <w:rStyle w:val="Lienhypertexte"/>
            <w:noProof/>
          </w:rPr>
          <w:t>5. Répertoire des options de base groupées des 7</w:t>
        </w:r>
        <w:r>
          <w:rPr>
            <w:rStyle w:val="Lienhypertexte"/>
            <w:noProof/>
            <w:vertAlign w:val="superscript"/>
          </w:rPr>
          <w:t>èmes</w:t>
        </w:r>
        <w:r>
          <w:rPr>
            <w:rStyle w:val="Lienhypertexte"/>
            <w:noProof/>
          </w:rPr>
          <w:t xml:space="preserve"> années complémentaires</w:t>
        </w:r>
        <w:r>
          <w:rPr>
            <w:noProof/>
            <w:webHidden/>
          </w:rPr>
          <w:tab/>
        </w:r>
        <w:r>
          <w:rPr>
            <w:noProof/>
            <w:webHidden/>
          </w:rPr>
          <w:fldChar w:fldCharType="begin"/>
        </w:r>
        <w:r>
          <w:rPr>
            <w:noProof/>
            <w:webHidden/>
          </w:rPr>
          <w:instrText xml:space="preserve"> PAGEREF _Toc522700813 \h </w:instrText>
        </w:r>
        <w:r>
          <w:rPr>
            <w:noProof/>
            <w:webHidden/>
          </w:rPr>
        </w:r>
        <w:r>
          <w:rPr>
            <w:noProof/>
            <w:webHidden/>
          </w:rPr>
          <w:fldChar w:fldCharType="separate"/>
        </w:r>
        <w:r>
          <w:rPr>
            <w:noProof/>
            <w:webHidden/>
          </w:rPr>
          <w:t>88</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14" w:history="1">
        <w:r>
          <w:rPr>
            <w:rStyle w:val="Lienhypertexte"/>
            <w:noProof/>
          </w:rPr>
          <w:t xml:space="preserve">v. tableau des secteurs et des groupes </w:t>
        </w:r>
        <w:r>
          <w:rPr>
            <w:noProof/>
            <w:webHidden/>
          </w:rPr>
          <w:tab/>
        </w:r>
        <w:r>
          <w:rPr>
            <w:noProof/>
            <w:webHidden/>
          </w:rPr>
          <w:fldChar w:fldCharType="begin"/>
        </w:r>
        <w:r>
          <w:rPr>
            <w:noProof/>
            <w:webHidden/>
          </w:rPr>
          <w:instrText xml:space="preserve"> PAGEREF _Toc522700814 \h </w:instrText>
        </w:r>
        <w:r>
          <w:rPr>
            <w:noProof/>
            <w:webHidden/>
          </w:rPr>
        </w:r>
        <w:r>
          <w:rPr>
            <w:noProof/>
            <w:webHidden/>
          </w:rPr>
          <w:fldChar w:fldCharType="separate"/>
        </w:r>
        <w:r>
          <w:rPr>
            <w:noProof/>
            <w:webHidden/>
          </w:rPr>
          <w:t>91</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522700815" w:history="1">
        <w:r>
          <w:rPr>
            <w:rStyle w:val="Lienhypertexte"/>
            <w:noProof/>
          </w:rPr>
          <w:t>CHAPITRE VII : NORMES DE MAINTIEN (« Article 49 »)</w:t>
        </w:r>
        <w:r>
          <w:rPr>
            <w:noProof/>
            <w:webHidden/>
          </w:rPr>
          <w:tab/>
        </w:r>
        <w:r>
          <w:rPr>
            <w:noProof/>
            <w:webHidden/>
          </w:rPr>
          <w:fldChar w:fldCharType="begin"/>
        </w:r>
        <w:r>
          <w:rPr>
            <w:noProof/>
            <w:webHidden/>
          </w:rPr>
          <w:instrText xml:space="preserve"> PAGEREF _Toc522700815 \h </w:instrText>
        </w:r>
        <w:r>
          <w:rPr>
            <w:noProof/>
            <w:webHidden/>
          </w:rPr>
        </w:r>
        <w:r>
          <w:rPr>
            <w:noProof/>
            <w:webHidden/>
          </w:rPr>
          <w:fldChar w:fldCharType="separate"/>
        </w:r>
        <w:r>
          <w:rPr>
            <w:noProof/>
            <w:webHidden/>
          </w:rPr>
          <w:t>93</w:t>
        </w:r>
        <w:r>
          <w:rPr>
            <w:noProof/>
            <w:webHidden/>
          </w:rPr>
          <w:fldChar w:fldCharType="end"/>
        </w:r>
      </w:hyperlink>
    </w:p>
    <w:p>
      <w:pPr>
        <w:pStyle w:val="TM2"/>
        <w:tabs>
          <w:tab w:val="left" w:pos="600"/>
        </w:tabs>
        <w:rPr>
          <w:rFonts w:asciiTheme="minorHAnsi" w:eastAsiaTheme="minorEastAsia" w:hAnsiTheme="minorHAnsi" w:cstheme="minorBidi"/>
          <w:b w:val="0"/>
          <w:bCs w:val="0"/>
          <w:caps w:val="0"/>
          <w:noProof/>
          <w:sz w:val="22"/>
          <w:szCs w:val="22"/>
          <w:lang w:eastAsia="fr-BE"/>
        </w:rPr>
      </w:pPr>
      <w:hyperlink w:anchor="_Toc522700816" w:history="1">
        <w:r>
          <w:rPr>
            <w:rStyle w:val="Lienhypertexte"/>
            <w:noProof/>
          </w:rPr>
          <w:t>I.</w:t>
        </w:r>
        <w:r>
          <w:rPr>
            <w:rFonts w:asciiTheme="minorHAnsi" w:eastAsiaTheme="minorEastAsia" w:hAnsiTheme="minorHAnsi" w:cstheme="minorBidi"/>
            <w:b w:val="0"/>
            <w:bCs w:val="0"/>
            <w:caps w:val="0"/>
            <w:noProof/>
            <w:sz w:val="22"/>
            <w:szCs w:val="22"/>
            <w:lang w:eastAsia="fr-BE"/>
          </w:rPr>
          <w:tab/>
        </w:r>
        <w:r>
          <w:rPr>
            <w:rStyle w:val="Lienhypertexte"/>
            <w:noProof/>
          </w:rPr>
          <w:t xml:space="preserve">Normes de maintien par degré et forme </w:t>
        </w:r>
        <w:r>
          <w:rPr>
            <w:noProof/>
            <w:webHidden/>
          </w:rPr>
          <w:tab/>
        </w:r>
        <w:r>
          <w:rPr>
            <w:noProof/>
            <w:webHidden/>
          </w:rPr>
          <w:fldChar w:fldCharType="begin"/>
        </w:r>
        <w:r>
          <w:rPr>
            <w:noProof/>
            <w:webHidden/>
          </w:rPr>
          <w:instrText xml:space="preserve"> PAGEREF _Toc522700816 \h </w:instrText>
        </w:r>
        <w:r>
          <w:rPr>
            <w:noProof/>
            <w:webHidden/>
          </w:rPr>
        </w:r>
        <w:r>
          <w:rPr>
            <w:noProof/>
            <w:webHidden/>
          </w:rPr>
          <w:fldChar w:fldCharType="separate"/>
        </w:r>
        <w:r>
          <w:rPr>
            <w:noProof/>
            <w:webHidden/>
          </w:rPr>
          <w:t>93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17" w:history="1">
        <w:r>
          <w:rPr>
            <w:rStyle w:val="Lienhypertexte"/>
            <w:noProof/>
          </w:rPr>
          <w:t>II. Normes de maintien par option</w:t>
        </w:r>
        <w:r>
          <w:rPr>
            <w:noProof/>
            <w:webHidden/>
          </w:rPr>
          <w:tab/>
        </w:r>
        <w:r>
          <w:rPr>
            <w:noProof/>
            <w:webHidden/>
          </w:rPr>
          <w:fldChar w:fldCharType="begin"/>
        </w:r>
        <w:r>
          <w:rPr>
            <w:noProof/>
            <w:webHidden/>
          </w:rPr>
          <w:instrText xml:space="preserve"> PAGEREF _Toc522700817 \h </w:instrText>
        </w:r>
        <w:r>
          <w:rPr>
            <w:noProof/>
            <w:webHidden/>
          </w:rPr>
        </w:r>
        <w:r>
          <w:rPr>
            <w:noProof/>
            <w:webHidden/>
          </w:rPr>
          <w:fldChar w:fldCharType="separate"/>
        </w:r>
        <w:r>
          <w:rPr>
            <w:noProof/>
            <w:webHidden/>
          </w:rPr>
          <w:t>93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18" w:history="1">
        <w:r>
          <w:rPr>
            <w:rStyle w:val="Lienhypertexte"/>
            <w:noProof/>
          </w:rPr>
          <w:t>iii. MODALITES D'APPLICATION</w:t>
        </w:r>
        <w:r>
          <w:rPr>
            <w:noProof/>
            <w:webHidden/>
          </w:rPr>
          <w:tab/>
        </w:r>
        <w:r>
          <w:rPr>
            <w:noProof/>
            <w:webHidden/>
          </w:rPr>
          <w:fldChar w:fldCharType="begin"/>
        </w:r>
        <w:r>
          <w:rPr>
            <w:noProof/>
            <w:webHidden/>
          </w:rPr>
          <w:instrText xml:space="preserve"> PAGEREF _Toc522700818 \h </w:instrText>
        </w:r>
        <w:r>
          <w:rPr>
            <w:noProof/>
            <w:webHidden/>
          </w:rPr>
        </w:r>
        <w:r>
          <w:rPr>
            <w:noProof/>
            <w:webHidden/>
          </w:rPr>
          <w:fldChar w:fldCharType="separate"/>
        </w:r>
        <w:r>
          <w:rPr>
            <w:noProof/>
            <w:webHidden/>
          </w:rPr>
          <w:t>94</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19" w:history="1">
        <w:r>
          <w:rPr>
            <w:rStyle w:val="Lienhypertexte"/>
            <w:noProof/>
          </w:rPr>
          <w:t>1. Dérogations</w:t>
        </w:r>
        <w:r>
          <w:rPr>
            <w:noProof/>
            <w:webHidden/>
          </w:rPr>
          <w:tab/>
        </w:r>
        <w:r>
          <w:rPr>
            <w:noProof/>
            <w:webHidden/>
          </w:rPr>
          <w:fldChar w:fldCharType="begin"/>
        </w:r>
        <w:r>
          <w:rPr>
            <w:noProof/>
            <w:webHidden/>
          </w:rPr>
          <w:instrText xml:space="preserve"> PAGEREF _Toc522700819 \h </w:instrText>
        </w:r>
        <w:r>
          <w:rPr>
            <w:noProof/>
            <w:webHidden/>
          </w:rPr>
        </w:r>
        <w:r>
          <w:rPr>
            <w:noProof/>
            <w:webHidden/>
          </w:rPr>
          <w:fldChar w:fldCharType="separate"/>
        </w:r>
        <w:r>
          <w:rPr>
            <w:noProof/>
            <w:webHidden/>
          </w:rPr>
          <w:t>96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20" w:history="1">
        <w:r>
          <w:rPr>
            <w:rStyle w:val="Lienhypertexte"/>
            <w:noProof/>
          </w:rPr>
          <w:t>2. Remarque</w:t>
        </w:r>
        <w:r>
          <w:rPr>
            <w:noProof/>
            <w:webHidden/>
          </w:rPr>
          <w:tab/>
        </w:r>
        <w:r>
          <w:rPr>
            <w:noProof/>
            <w:webHidden/>
          </w:rPr>
          <w:fldChar w:fldCharType="begin"/>
        </w:r>
        <w:r>
          <w:rPr>
            <w:noProof/>
            <w:webHidden/>
          </w:rPr>
          <w:instrText xml:space="preserve"> PAGEREF _Toc522700820 \h </w:instrText>
        </w:r>
        <w:r>
          <w:rPr>
            <w:noProof/>
            <w:webHidden/>
          </w:rPr>
        </w:r>
        <w:r>
          <w:rPr>
            <w:noProof/>
            <w:webHidden/>
          </w:rPr>
          <w:fldChar w:fldCharType="separate"/>
        </w:r>
        <w:r>
          <w:rPr>
            <w:noProof/>
            <w:webHidden/>
          </w:rPr>
          <w:t>96</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522700821" w:history="1">
        <w:r>
          <w:rPr>
            <w:rStyle w:val="Lienhypertexte"/>
            <w:noProof/>
          </w:rPr>
          <w:t>CHAPITRE VIII : ENCADREMENT</w:t>
        </w:r>
        <w:r>
          <w:rPr>
            <w:noProof/>
            <w:webHidden/>
          </w:rPr>
          <w:tab/>
        </w:r>
        <w:r>
          <w:rPr>
            <w:noProof/>
            <w:webHidden/>
          </w:rPr>
          <w:fldChar w:fldCharType="begin"/>
        </w:r>
        <w:r>
          <w:rPr>
            <w:noProof/>
            <w:webHidden/>
          </w:rPr>
          <w:instrText xml:space="preserve"> PAGEREF _Toc522700821 \h </w:instrText>
        </w:r>
        <w:r>
          <w:rPr>
            <w:noProof/>
            <w:webHidden/>
          </w:rPr>
        </w:r>
        <w:r>
          <w:rPr>
            <w:noProof/>
            <w:webHidden/>
          </w:rPr>
          <w:fldChar w:fldCharType="separate"/>
        </w:r>
        <w:r>
          <w:rPr>
            <w:noProof/>
            <w:webHidden/>
          </w:rPr>
          <w:t>97</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22" w:history="1">
        <w:r>
          <w:rPr>
            <w:rStyle w:val="Lienhypertexte"/>
            <w:noProof/>
          </w:rPr>
          <w:t>I. POPULATION SCOLAIRE DE REFERENCE</w:t>
        </w:r>
        <w:r>
          <w:rPr>
            <w:noProof/>
            <w:webHidden/>
          </w:rPr>
          <w:tab/>
        </w:r>
        <w:r>
          <w:rPr>
            <w:noProof/>
            <w:webHidden/>
          </w:rPr>
          <w:fldChar w:fldCharType="begin"/>
        </w:r>
        <w:r>
          <w:rPr>
            <w:noProof/>
            <w:webHidden/>
          </w:rPr>
          <w:instrText xml:space="preserve"> PAGEREF _Toc522700822 \h </w:instrText>
        </w:r>
        <w:r>
          <w:rPr>
            <w:noProof/>
            <w:webHidden/>
          </w:rPr>
        </w:r>
        <w:r>
          <w:rPr>
            <w:noProof/>
            <w:webHidden/>
          </w:rPr>
          <w:fldChar w:fldCharType="separate"/>
        </w:r>
        <w:r>
          <w:rPr>
            <w:noProof/>
            <w:webHidden/>
          </w:rPr>
          <w:t>97</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23" w:history="1">
        <w:r>
          <w:rPr>
            <w:rStyle w:val="Lienhypertexte"/>
            <w:noProof/>
          </w:rPr>
          <w:t>II. LA CHARGE DE COORDONNATEUR</w:t>
        </w:r>
        <w:r>
          <w:rPr>
            <w:noProof/>
            <w:webHidden/>
          </w:rPr>
          <w:tab/>
        </w:r>
        <w:r>
          <w:rPr>
            <w:noProof/>
            <w:webHidden/>
          </w:rPr>
          <w:fldChar w:fldCharType="begin"/>
        </w:r>
        <w:r>
          <w:rPr>
            <w:noProof/>
            <w:webHidden/>
          </w:rPr>
          <w:instrText xml:space="preserve"> PAGEREF _Toc522700823 \h </w:instrText>
        </w:r>
        <w:r>
          <w:rPr>
            <w:noProof/>
            <w:webHidden/>
          </w:rPr>
        </w:r>
        <w:r>
          <w:rPr>
            <w:noProof/>
            <w:webHidden/>
          </w:rPr>
          <w:fldChar w:fldCharType="separate"/>
        </w:r>
        <w:r>
          <w:rPr>
            <w:noProof/>
            <w:webHidden/>
          </w:rPr>
          <w:t>99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24" w:history="1">
        <w:r>
          <w:rPr>
            <w:rStyle w:val="Lienhypertexte"/>
            <w:noProof/>
          </w:rPr>
          <w:t xml:space="preserve">1. Rôle du coordonnateur </w:t>
        </w:r>
        <w:r>
          <w:rPr>
            <w:noProof/>
            <w:webHidden/>
          </w:rPr>
          <w:tab/>
        </w:r>
        <w:r>
          <w:rPr>
            <w:noProof/>
            <w:webHidden/>
          </w:rPr>
          <w:fldChar w:fldCharType="begin"/>
        </w:r>
        <w:r>
          <w:rPr>
            <w:noProof/>
            <w:webHidden/>
          </w:rPr>
          <w:instrText xml:space="preserve"> PAGEREF _Toc522700824 \h </w:instrText>
        </w:r>
        <w:r>
          <w:rPr>
            <w:noProof/>
            <w:webHidden/>
          </w:rPr>
        </w:r>
        <w:r>
          <w:rPr>
            <w:noProof/>
            <w:webHidden/>
          </w:rPr>
          <w:fldChar w:fldCharType="separate"/>
        </w:r>
        <w:r>
          <w:rPr>
            <w:noProof/>
            <w:webHidden/>
          </w:rPr>
          <w:t>99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25" w:history="1">
        <w:r>
          <w:rPr>
            <w:rStyle w:val="Lienhypertexte"/>
            <w:noProof/>
          </w:rPr>
          <w:t>2. L’exercice de la fonction de coordonnateur</w:t>
        </w:r>
        <w:r>
          <w:rPr>
            <w:noProof/>
            <w:webHidden/>
          </w:rPr>
          <w:tab/>
        </w:r>
        <w:r>
          <w:rPr>
            <w:noProof/>
            <w:webHidden/>
          </w:rPr>
          <w:fldChar w:fldCharType="begin"/>
        </w:r>
        <w:r>
          <w:rPr>
            <w:noProof/>
            <w:webHidden/>
          </w:rPr>
          <w:instrText xml:space="preserve"> PAGEREF _Toc522700825 \h </w:instrText>
        </w:r>
        <w:r>
          <w:rPr>
            <w:noProof/>
            <w:webHidden/>
          </w:rPr>
        </w:r>
        <w:r>
          <w:rPr>
            <w:noProof/>
            <w:webHidden/>
          </w:rPr>
          <w:fldChar w:fldCharType="separate"/>
        </w:r>
        <w:r>
          <w:rPr>
            <w:noProof/>
            <w:webHidden/>
          </w:rPr>
          <w:t>99</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26" w:history="1">
        <w:r>
          <w:rPr>
            <w:rStyle w:val="Lienhypertexte"/>
            <w:noProof/>
          </w:rPr>
          <w:t>III. L’accompagnement</w:t>
        </w:r>
        <w:r>
          <w:rPr>
            <w:noProof/>
            <w:webHidden/>
          </w:rPr>
          <w:tab/>
        </w:r>
        <w:r>
          <w:rPr>
            <w:noProof/>
            <w:webHidden/>
          </w:rPr>
          <w:fldChar w:fldCharType="begin"/>
        </w:r>
        <w:r>
          <w:rPr>
            <w:noProof/>
            <w:webHidden/>
          </w:rPr>
          <w:instrText xml:space="preserve"> PAGEREF _Toc522700826 \h </w:instrText>
        </w:r>
        <w:r>
          <w:rPr>
            <w:noProof/>
            <w:webHidden/>
          </w:rPr>
        </w:r>
        <w:r>
          <w:rPr>
            <w:noProof/>
            <w:webHidden/>
          </w:rPr>
          <w:fldChar w:fldCharType="separate"/>
        </w:r>
        <w:r>
          <w:rPr>
            <w:noProof/>
            <w:webHidden/>
          </w:rPr>
          <w:t>100</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27" w:history="1">
        <w:r>
          <w:rPr>
            <w:rStyle w:val="Lienhypertexte"/>
            <w:noProof/>
          </w:rPr>
          <w:t>1. Périodes hebdomadaires d’accompagnement pour l’enseignement secondaire ordinaire</w:t>
        </w:r>
        <w:r>
          <w:rPr>
            <w:noProof/>
            <w:webHidden/>
          </w:rPr>
          <w:tab/>
        </w:r>
        <w:r>
          <w:rPr>
            <w:noProof/>
            <w:webHidden/>
          </w:rPr>
          <w:fldChar w:fldCharType="begin"/>
        </w:r>
        <w:r>
          <w:rPr>
            <w:noProof/>
            <w:webHidden/>
          </w:rPr>
          <w:instrText xml:space="preserve"> PAGEREF _Toc522700827 \h </w:instrText>
        </w:r>
        <w:r>
          <w:rPr>
            <w:noProof/>
            <w:webHidden/>
          </w:rPr>
        </w:r>
        <w:r>
          <w:rPr>
            <w:noProof/>
            <w:webHidden/>
          </w:rPr>
          <w:fldChar w:fldCharType="separate"/>
        </w:r>
        <w:r>
          <w:rPr>
            <w:noProof/>
            <w:webHidden/>
          </w:rPr>
          <w:t>100</w:t>
        </w:r>
        <w:r>
          <w:rPr>
            <w:noProof/>
            <w:webHidden/>
          </w:rPr>
          <w:fldChar w:fldCharType="end"/>
        </w:r>
      </w:hyperlink>
    </w:p>
    <w:p>
      <w:pPr>
        <w:pStyle w:val="TM3"/>
        <w:ind w:left="567" w:hanging="167"/>
        <w:rPr>
          <w:rFonts w:asciiTheme="minorHAnsi" w:eastAsiaTheme="minorEastAsia" w:hAnsiTheme="minorHAnsi" w:cstheme="minorBidi"/>
          <w:noProof/>
          <w:sz w:val="22"/>
          <w:szCs w:val="22"/>
          <w:lang w:eastAsia="fr-BE"/>
        </w:rPr>
      </w:pPr>
      <w:hyperlink w:anchor="_Toc522700828" w:history="1">
        <w:r>
          <w:rPr>
            <w:rStyle w:val="Lienhypertexte"/>
            <w:noProof/>
          </w:rPr>
          <w:t>2. Périodes hebdomadaires d’accompagnement pour les élèves inscrits en alternance dans l’enseignement spécialisé</w:t>
        </w:r>
        <w:r>
          <w:rPr>
            <w:noProof/>
            <w:webHidden/>
          </w:rPr>
          <w:tab/>
        </w:r>
        <w:r>
          <w:rPr>
            <w:noProof/>
            <w:webHidden/>
          </w:rPr>
          <w:fldChar w:fldCharType="begin"/>
        </w:r>
        <w:r>
          <w:rPr>
            <w:noProof/>
            <w:webHidden/>
          </w:rPr>
          <w:instrText xml:space="preserve"> PAGEREF _Toc522700828 \h </w:instrText>
        </w:r>
        <w:r>
          <w:rPr>
            <w:noProof/>
            <w:webHidden/>
          </w:rPr>
        </w:r>
        <w:r>
          <w:rPr>
            <w:noProof/>
            <w:webHidden/>
          </w:rPr>
          <w:fldChar w:fldCharType="separate"/>
        </w:r>
        <w:r>
          <w:rPr>
            <w:noProof/>
            <w:webHidden/>
          </w:rPr>
          <w:t>101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29" w:history="1">
        <w:r>
          <w:rPr>
            <w:rStyle w:val="Lienhypertexte"/>
            <w:noProof/>
          </w:rPr>
          <w:t xml:space="preserve">3. Missions de l’accompagnement </w:t>
        </w:r>
        <w:r>
          <w:rPr>
            <w:noProof/>
            <w:webHidden/>
          </w:rPr>
          <w:tab/>
        </w:r>
        <w:r>
          <w:rPr>
            <w:noProof/>
            <w:webHidden/>
          </w:rPr>
          <w:fldChar w:fldCharType="begin"/>
        </w:r>
        <w:r>
          <w:rPr>
            <w:noProof/>
            <w:webHidden/>
          </w:rPr>
          <w:instrText xml:space="preserve"> PAGEREF _Toc522700829 \h </w:instrText>
        </w:r>
        <w:r>
          <w:rPr>
            <w:noProof/>
            <w:webHidden/>
          </w:rPr>
        </w:r>
        <w:r>
          <w:rPr>
            <w:noProof/>
            <w:webHidden/>
          </w:rPr>
          <w:fldChar w:fldCharType="separate"/>
        </w:r>
        <w:r>
          <w:rPr>
            <w:noProof/>
            <w:webHidden/>
          </w:rPr>
          <w:t>102</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522700830" w:history="1">
        <w:r>
          <w:rPr>
            <w:rStyle w:val="Lienhypertexte"/>
            <w:noProof/>
          </w:rPr>
          <w:t>4. Prestations de l’accompagnateur</w:t>
        </w:r>
        <w:r>
          <w:rPr>
            <w:noProof/>
            <w:webHidden/>
          </w:rPr>
          <w:tab/>
        </w:r>
        <w:r>
          <w:rPr>
            <w:noProof/>
            <w:webHidden/>
          </w:rPr>
          <w:fldChar w:fldCharType="begin"/>
        </w:r>
        <w:r>
          <w:rPr>
            <w:noProof/>
            <w:webHidden/>
          </w:rPr>
          <w:instrText xml:space="preserve"> PAGEREF _Toc522700830 \h </w:instrText>
        </w:r>
        <w:r>
          <w:rPr>
            <w:noProof/>
            <w:webHidden/>
          </w:rPr>
        </w:r>
        <w:r>
          <w:rPr>
            <w:noProof/>
            <w:webHidden/>
          </w:rPr>
          <w:fldChar w:fldCharType="separate"/>
        </w:r>
        <w:r>
          <w:rPr>
            <w:noProof/>
            <w:webHidden/>
          </w:rPr>
          <w:t>102</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31" w:history="1">
        <w:r>
          <w:rPr>
            <w:rStyle w:val="Lienhypertexte"/>
            <w:noProof/>
          </w:rPr>
          <w:t>IV. Les périodes-professeurs</w:t>
        </w:r>
        <w:r>
          <w:rPr>
            <w:noProof/>
            <w:webHidden/>
          </w:rPr>
          <w:tab/>
        </w:r>
        <w:r>
          <w:rPr>
            <w:noProof/>
            <w:webHidden/>
          </w:rPr>
          <w:fldChar w:fldCharType="begin"/>
        </w:r>
        <w:r>
          <w:rPr>
            <w:noProof/>
            <w:webHidden/>
          </w:rPr>
          <w:instrText xml:space="preserve"> PAGEREF _Toc522700831 \h </w:instrText>
        </w:r>
        <w:r>
          <w:rPr>
            <w:noProof/>
            <w:webHidden/>
          </w:rPr>
        </w:r>
        <w:r>
          <w:rPr>
            <w:noProof/>
            <w:webHidden/>
          </w:rPr>
          <w:fldChar w:fldCharType="separate"/>
        </w:r>
        <w:r>
          <w:rPr>
            <w:noProof/>
            <w:webHidden/>
          </w:rPr>
          <w:t>103</w:t>
        </w:r>
        <w:r>
          <w:rPr>
            <w:noProof/>
            <w:webHidden/>
          </w:rPr>
          <w:fldChar w:fldCharType="end"/>
        </w:r>
      </w:hyperlink>
    </w:p>
    <w:p>
      <w:pPr>
        <w:pStyle w:val="TM2"/>
        <w:ind w:left="426" w:hanging="226"/>
        <w:rPr>
          <w:rFonts w:asciiTheme="minorHAnsi" w:eastAsiaTheme="minorEastAsia" w:hAnsiTheme="minorHAnsi" w:cstheme="minorBidi"/>
          <w:b w:val="0"/>
          <w:bCs w:val="0"/>
          <w:caps w:val="0"/>
          <w:noProof/>
          <w:sz w:val="22"/>
          <w:szCs w:val="22"/>
          <w:lang w:eastAsia="fr-BE"/>
        </w:rPr>
      </w:pPr>
      <w:hyperlink w:anchor="_Toc522700832" w:history="1">
        <w:r>
          <w:rPr>
            <w:rStyle w:val="Lienhypertexte"/>
            <w:noProof/>
          </w:rPr>
          <w:t xml:space="preserve">V. LE PERSONNEL AUXILIAIRE D’EDUCATION, PERSONNEL ADMINISTRATIF ET SOUS-DIRECTEUR </w:t>
        </w:r>
        <w:r>
          <w:rPr>
            <w:noProof/>
            <w:webHidden/>
          </w:rPr>
          <w:tab/>
        </w:r>
        <w:r>
          <w:rPr>
            <w:noProof/>
            <w:webHidden/>
          </w:rPr>
          <w:fldChar w:fldCharType="begin"/>
        </w:r>
        <w:r>
          <w:rPr>
            <w:noProof/>
            <w:webHidden/>
          </w:rPr>
          <w:instrText xml:space="preserve"> PAGEREF _Toc522700832 \h </w:instrText>
        </w:r>
        <w:r>
          <w:rPr>
            <w:noProof/>
            <w:webHidden/>
          </w:rPr>
        </w:r>
        <w:r>
          <w:rPr>
            <w:noProof/>
            <w:webHidden/>
          </w:rPr>
          <w:fldChar w:fldCharType="separate"/>
        </w:r>
        <w:r>
          <w:rPr>
            <w:noProof/>
            <w:webHidden/>
          </w:rPr>
          <w:t>104</w:t>
        </w:r>
        <w:r>
          <w:rPr>
            <w:noProof/>
            <w:webHidden/>
          </w:rPr>
          <w:fldChar w:fldCharType="end"/>
        </w:r>
      </w:hyperlink>
    </w:p>
    <w:p>
      <w:pPr>
        <w:pStyle w:val="TM2"/>
        <w:tabs>
          <w:tab w:val="left" w:pos="1000"/>
        </w:tabs>
        <w:rPr>
          <w:rFonts w:asciiTheme="minorHAnsi" w:eastAsiaTheme="minorEastAsia" w:hAnsiTheme="minorHAnsi" w:cstheme="minorBidi"/>
          <w:b w:val="0"/>
          <w:bCs w:val="0"/>
          <w:caps w:val="0"/>
          <w:noProof/>
          <w:sz w:val="22"/>
          <w:szCs w:val="22"/>
          <w:lang w:eastAsia="fr-BE"/>
        </w:rPr>
      </w:pPr>
      <w:hyperlink w:anchor="_Toc522700833" w:history="1">
        <w:r>
          <w:rPr>
            <w:rStyle w:val="Lienhypertexte"/>
            <w:noProof/>
          </w:rPr>
          <w:t>VI.</w:t>
        </w:r>
        <w:r>
          <w:rPr>
            <w:rFonts w:asciiTheme="minorHAnsi" w:eastAsiaTheme="minorEastAsia" w:hAnsiTheme="minorHAnsi" w:cstheme="minorBidi"/>
            <w:b w:val="0"/>
            <w:bCs w:val="0"/>
            <w:caps w:val="0"/>
            <w:noProof/>
            <w:sz w:val="22"/>
            <w:szCs w:val="22"/>
            <w:lang w:eastAsia="fr-BE"/>
          </w:rPr>
          <w:t xml:space="preserve">  </w:t>
        </w:r>
        <w:r>
          <w:rPr>
            <w:rStyle w:val="Lienhypertexte"/>
            <w:noProof/>
          </w:rPr>
          <w:t xml:space="preserve"> Le chef d’atelier et le chef de travaux d’atelier</w:t>
        </w:r>
        <w:r>
          <w:rPr>
            <w:noProof/>
            <w:webHidden/>
          </w:rPr>
          <w:tab/>
        </w:r>
        <w:r>
          <w:rPr>
            <w:noProof/>
            <w:webHidden/>
          </w:rPr>
          <w:fldChar w:fldCharType="begin"/>
        </w:r>
        <w:r>
          <w:rPr>
            <w:noProof/>
            <w:webHidden/>
          </w:rPr>
          <w:instrText xml:space="preserve"> PAGEREF _Toc522700833 \h </w:instrText>
        </w:r>
        <w:r>
          <w:rPr>
            <w:noProof/>
            <w:webHidden/>
          </w:rPr>
        </w:r>
        <w:r>
          <w:rPr>
            <w:noProof/>
            <w:webHidden/>
          </w:rPr>
          <w:fldChar w:fldCharType="separate"/>
        </w:r>
        <w:r>
          <w:rPr>
            <w:noProof/>
            <w:webHidden/>
          </w:rPr>
          <w:t>105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34" w:history="1">
        <w:r>
          <w:rPr>
            <w:rStyle w:val="Lienhypertexte"/>
            <w:noProof/>
          </w:rPr>
          <w:t>VII. La charge d’un professeur de pratique professionnelle (PP)</w:t>
        </w:r>
        <w:r>
          <w:rPr>
            <w:noProof/>
            <w:webHidden/>
          </w:rPr>
          <w:tab/>
        </w:r>
        <w:r>
          <w:rPr>
            <w:noProof/>
            <w:webHidden/>
          </w:rPr>
          <w:fldChar w:fldCharType="begin"/>
        </w:r>
        <w:r>
          <w:rPr>
            <w:noProof/>
            <w:webHidden/>
          </w:rPr>
          <w:instrText xml:space="preserve"> PAGEREF _Toc522700834 \h </w:instrText>
        </w:r>
        <w:r>
          <w:rPr>
            <w:noProof/>
            <w:webHidden/>
          </w:rPr>
        </w:r>
        <w:r>
          <w:rPr>
            <w:noProof/>
            <w:webHidden/>
          </w:rPr>
          <w:fldChar w:fldCharType="separate"/>
        </w:r>
        <w:r>
          <w:rPr>
            <w:noProof/>
            <w:webHidden/>
          </w:rPr>
          <w:t>105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522700835" w:history="1">
        <w:r>
          <w:rPr>
            <w:rStyle w:val="Lienhypertexte"/>
            <w:noProof/>
          </w:rPr>
          <w:t>viii. utilisation des periodes-professeurs</w:t>
        </w:r>
        <w:r>
          <w:rPr>
            <w:noProof/>
            <w:webHidden/>
          </w:rPr>
          <w:tab/>
        </w:r>
        <w:r>
          <w:rPr>
            <w:noProof/>
            <w:webHidden/>
          </w:rPr>
          <w:fldChar w:fldCharType="begin"/>
        </w:r>
        <w:r>
          <w:rPr>
            <w:noProof/>
            <w:webHidden/>
          </w:rPr>
          <w:instrText xml:space="preserve"> PAGEREF _Toc522700835 \h </w:instrText>
        </w:r>
        <w:r>
          <w:rPr>
            <w:noProof/>
            <w:webHidden/>
          </w:rPr>
        </w:r>
        <w:r>
          <w:rPr>
            <w:noProof/>
            <w:webHidden/>
          </w:rPr>
          <w:fldChar w:fldCharType="separate"/>
        </w:r>
        <w:r>
          <w:rPr>
            <w:noProof/>
            <w:webHidden/>
          </w:rPr>
          <w:t>106</w:t>
        </w:r>
        <w:r>
          <w:rPr>
            <w:noProof/>
            <w:webHidden/>
          </w:rPr>
          <w:fldChar w:fldCharType="end"/>
        </w:r>
      </w:hyperlink>
    </w:p>
    <w:p>
      <w:pPr>
        <w:pStyle w:val="TM2"/>
        <w:tabs>
          <w:tab w:val="clear" w:pos="9487"/>
          <w:tab w:val="right" w:leader="dot" w:pos="9496"/>
        </w:tabs>
        <w:ind w:left="909"/>
        <w:sectPr>
          <w:headerReference w:type="even" r:id="rId16"/>
          <w:headerReference w:type="default" r:id="rId17"/>
          <w:footerReference w:type="even" r:id="rId18"/>
          <w:footerReference w:type="default" r:id="rId19"/>
          <w:headerReference w:type="first" r:id="rId20"/>
          <w:footerReference w:type="first" r:id="rId21"/>
          <w:pgSz w:w="11906" w:h="16838"/>
          <w:pgMar w:top="907" w:right="1134" w:bottom="907" w:left="1276" w:header="851" w:footer="851" w:gutter="0"/>
          <w:cols w:space="720"/>
          <w:docGrid w:linePitch="360"/>
        </w:sectPr>
      </w:pPr>
      <w:r>
        <w:rPr>
          <w:i/>
          <w:iCs/>
          <w:caps w:val="0"/>
        </w:rPr>
        <w:fldChar w:fldCharType="end"/>
      </w: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r>
        <w:rPr>
          <w:rFonts w:ascii="Book Antiqua" w:hAnsi="Book Antiqua" w:cs="Book Antiqua"/>
          <w:bCs/>
          <w:spacing w:val="-2"/>
          <w:sz w:val="22"/>
          <w:szCs w:val="22"/>
        </w:rPr>
        <w:t xml:space="preserve">Madame, Monsieur, </w:t>
      </w:r>
    </w:p>
    <w:p>
      <w:pPr>
        <w:tabs>
          <w:tab w:val="left" w:pos="-720"/>
        </w:tabs>
        <w:spacing w:before="120" w:after="360"/>
        <w:ind w:left="709" w:right="-188"/>
        <w:jc w:val="both"/>
        <w:rPr>
          <w:rFonts w:ascii="Book Antiqua" w:hAnsi="Book Antiqua" w:cs="Book Antiqua"/>
          <w:bCs/>
          <w:spacing w:val="-2"/>
          <w:sz w:val="22"/>
          <w:szCs w:val="22"/>
        </w:rPr>
      </w:pPr>
      <w:r>
        <w:rPr>
          <w:rFonts w:ascii="Book Antiqua" w:hAnsi="Book Antiqua" w:cs="Book Antiqua"/>
          <w:bCs/>
          <w:spacing w:val="-2"/>
          <w:sz w:val="22"/>
          <w:szCs w:val="22"/>
        </w:rPr>
        <w:t>La présente circulaire remplace la circulaire n°6303 du 10 août 2017 « Enseignement secondaire en alternance – Directives pour l’année scolaire 2017-2018 – Organisation, structures, encadrement ».</w:t>
      </w:r>
    </w:p>
    <w:p>
      <w:pPr>
        <w:tabs>
          <w:tab w:val="left" w:pos="-720"/>
        </w:tabs>
        <w:spacing w:before="120" w:after="360"/>
        <w:ind w:left="709" w:right="-188"/>
        <w:jc w:val="both"/>
        <w:rPr>
          <w:rFonts w:ascii="Book Antiqua" w:hAnsi="Book Antiqua" w:cs="Book Antiqua"/>
          <w:bCs/>
          <w:spacing w:val="-2"/>
          <w:sz w:val="22"/>
          <w:szCs w:val="22"/>
        </w:rPr>
      </w:pPr>
      <w:r>
        <w:rPr>
          <w:rFonts w:ascii="Book Antiqua" w:hAnsi="Book Antiqua" w:cs="Book Antiqua"/>
          <w:bCs/>
          <w:spacing w:val="-2"/>
          <w:sz w:val="22"/>
          <w:szCs w:val="22"/>
        </w:rPr>
        <w:t xml:space="preserve">Elle vise à présenter et expliquer l’ensemble des dispositions légales et réglementaires qui régissent l’organisation de l’enseignement en alternance. </w:t>
      </w:r>
    </w:p>
    <w:p>
      <w:pPr>
        <w:pStyle w:val="Corpsdetexte"/>
        <w:spacing w:before="120" w:after="360"/>
        <w:ind w:left="709"/>
        <w:rPr>
          <w:rFonts w:ascii="Book Antiqua" w:hAnsi="Book Antiqua" w:cs="Book Antiqua"/>
          <w:spacing w:val="-2"/>
          <w:sz w:val="22"/>
          <w:szCs w:val="22"/>
        </w:rPr>
      </w:pPr>
      <w:r>
        <w:rPr>
          <w:rFonts w:ascii="Book Antiqua" w:hAnsi="Book Antiqua" w:cs="Book Antiqua"/>
          <w:bCs/>
          <w:spacing w:val="-2"/>
          <w:sz w:val="22"/>
          <w:szCs w:val="22"/>
        </w:rPr>
        <w:t xml:space="preserve">Soulignons que tout </w:t>
      </w:r>
      <w:r>
        <w:rPr>
          <w:rFonts w:ascii="Book Antiqua" w:hAnsi="Book Antiqua" w:cs="Book Antiqua"/>
          <w:spacing w:val="-2"/>
          <w:sz w:val="22"/>
          <w:szCs w:val="22"/>
        </w:rPr>
        <w:t xml:space="preserve">document officiel, toute communication aux élèves, aux professeurs, aux parents, doit respecter strictement les dispositions de la présente circulaire. </w:t>
      </w: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r>
        <w:rPr>
          <w:rFonts w:ascii="Book Antiqua" w:hAnsi="Book Antiqua" w:cs="Book Antiqua"/>
          <w:i w:val="0"/>
          <w:sz w:val="22"/>
          <w:szCs w:val="22"/>
        </w:rPr>
        <w:t>Les pouvoirs organisateurs doivent en particulier respecter les cadres de référence ou modalités structurelles d’organisation lorsqu’ils sont prévus par leur réseau d’enseignement.</w:t>
      </w: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r>
        <w:rPr>
          <w:rFonts w:ascii="Book Antiqua" w:hAnsi="Book Antiqua" w:cs="Book Antiqua"/>
          <w:i w:val="0"/>
          <w:sz w:val="22"/>
          <w:szCs w:val="22"/>
        </w:rPr>
        <w:t>Enfin, je souhaite attirer votre attention sur l’évolution de la certification par unité (CPU). Celle-ci est amenée à poursuivre son développement dans un cadre expérimental qui, en phase avec les travaux du Pacte pour un Enseignement d’excellence, devra faire l’objet d’une évaluation.</w:t>
      </w:r>
    </w:p>
    <w:p>
      <w:pPr>
        <w:pStyle w:val="Corpsdetexte21"/>
        <w:tabs>
          <w:tab w:val="clear" w:pos="1922"/>
          <w:tab w:val="left" w:pos="1394"/>
        </w:tabs>
        <w:suppressAutoHyphens w:val="0"/>
        <w:spacing w:before="120" w:after="360"/>
        <w:ind w:left="709"/>
        <w:rPr>
          <w:rFonts w:ascii="Book Antiqua" w:hAnsi="Book Antiqua" w:cs="Book Antiqua"/>
          <w:sz w:val="22"/>
          <w:szCs w:val="22"/>
        </w:rPr>
      </w:pPr>
      <w:r>
        <w:rPr>
          <w:rFonts w:ascii="Book Antiqua" w:hAnsi="Book Antiqua" w:cs="Book Antiqua"/>
          <w:i w:val="0"/>
          <w:sz w:val="22"/>
          <w:szCs w:val="22"/>
        </w:rPr>
        <w:t xml:space="preserve">Le Parlement de la Communauté française a adopté ce 13 juin 2018 le projet de décret (promulgué le 14/06/18) </w:t>
      </w:r>
      <w:r>
        <w:rPr>
          <w:rFonts w:ascii="Book Antiqua" w:hAnsi="Book Antiqua" w:cs="Book Antiqua"/>
          <w:sz w:val="22"/>
          <w:szCs w:val="22"/>
        </w:rPr>
        <w:t>instituant un enseignement expérimental aux 2e et 3 degrés de l’enseignement secondaire qualifiant en ce qui concerne la certification par unités d’acquis d’apprentissage (CPU), et aux 2e et 3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r>
        <w:rPr>
          <w:rFonts w:ascii="Book Antiqua" w:hAnsi="Book Antiqua" w:cs="Book Antiqua"/>
          <w:i w:val="0"/>
          <w:sz w:val="22"/>
          <w:szCs w:val="22"/>
        </w:rPr>
        <w:t>. Certaines options sont désormais organisées en CPU sur trois années des 2</w:t>
      </w:r>
      <w:r>
        <w:rPr>
          <w:rFonts w:ascii="Book Antiqua" w:hAnsi="Book Antiqua" w:cs="Book Antiqua"/>
          <w:i w:val="0"/>
          <w:sz w:val="22"/>
          <w:szCs w:val="22"/>
          <w:vertAlign w:val="superscript"/>
        </w:rPr>
        <w:t>ème</w:t>
      </w:r>
      <w:r>
        <w:rPr>
          <w:rFonts w:ascii="Book Antiqua" w:hAnsi="Book Antiqua" w:cs="Book Antiqua"/>
          <w:i w:val="0"/>
          <w:sz w:val="22"/>
          <w:szCs w:val="22"/>
        </w:rPr>
        <w:t xml:space="preserve"> et 3</w:t>
      </w:r>
      <w:r>
        <w:rPr>
          <w:rFonts w:ascii="Book Antiqua" w:hAnsi="Book Antiqua" w:cs="Book Antiqua"/>
          <w:i w:val="0"/>
          <w:sz w:val="22"/>
          <w:szCs w:val="22"/>
          <w:vertAlign w:val="superscript"/>
        </w:rPr>
        <w:t>ème</w:t>
      </w:r>
      <w:r>
        <w:rPr>
          <w:rFonts w:ascii="Book Antiqua" w:hAnsi="Book Antiqua" w:cs="Book Antiqua"/>
          <w:i w:val="0"/>
          <w:sz w:val="22"/>
          <w:szCs w:val="22"/>
        </w:rPr>
        <w:t xml:space="preserve"> degrés. Ces dernières sont reprises dans la présente circulaire mais je vous invite à consulter également la circulaire n°6652 du 14/05/2018 pour plus de précisions sur cet enseignement expérimental ainsi que la circulaire annuelle n°6741 du 4 juillet 2018 relative aux </w:t>
      </w:r>
      <w:r>
        <w:rPr>
          <w:rFonts w:ascii="Book Antiqua" w:hAnsi="Book Antiqua" w:cs="Book Antiqua"/>
          <w:sz w:val="22"/>
          <w:szCs w:val="22"/>
        </w:rPr>
        <w:t>directives pour l’année scolaire 2018-2019 – Organisation, structures et encadrement</w:t>
      </w:r>
      <w:r>
        <w:rPr>
          <w:rFonts w:ascii="Book Antiqua" w:hAnsi="Book Antiqua" w:cs="Book Antiqua"/>
          <w:i w:val="0"/>
          <w:sz w:val="22"/>
          <w:szCs w:val="22"/>
        </w:rPr>
        <w:t>. Les modalités d’application de l’organisation de la CPU en 4</w:t>
      </w:r>
      <w:r>
        <w:rPr>
          <w:rFonts w:ascii="Book Antiqua" w:hAnsi="Book Antiqua" w:cs="Book Antiqua"/>
          <w:i w:val="0"/>
          <w:sz w:val="22"/>
          <w:szCs w:val="22"/>
          <w:vertAlign w:val="superscript"/>
        </w:rPr>
        <w:t>ème</w:t>
      </w:r>
      <w:r>
        <w:rPr>
          <w:rFonts w:ascii="Book Antiqua" w:hAnsi="Book Antiqua" w:cs="Book Antiqua"/>
          <w:i w:val="0"/>
          <w:sz w:val="22"/>
          <w:szCs w:val="22"/>
        </w:rPr>
        <w:t>, 5</w:t>
      </w:r>
      <w:r>
        <w:rPr>
          <w:rFonts w:ascii="Book Antiqua" w:hAnsi="Book Antiqua" w:cs="Book Antiqua"/>
          <w:i w:val="0"/>
          <w:sz w:val="22"/>
          <w:szCs w:val="22"/>
          <w:vertAlign w:val="superscript"/>
        </w:rPr>
        <w:t>ème</w:t>
      </w:r>
      <w:r>
        <w:rPr>
          <w:rFonts w:ascii="Book Antiqua" w:hAnsi="Book Antiqua" w:cs="Book Antiqua"/>
          <w:i w:val="0"/>
          <w:sz w:val="22"/>
          <w:szCs w:val="22"/>
        </w:rPr>
        <w:t xml:space="preserve"> et 6</w:t>
      </w:r>
      <w:r>
        <w:rPr>
          <w:rFonts w:ascii="Book Antiqua" w:hAnsi="Book Antiqua" w:cs="Book Antiqua"/>
          <w:i w:val="0"/>
          <w:sz w:val="22"/>
          <w:szCs w:val="22"/>
          <w:vertAlign w:val="superscript"/>
        </w:rPr>
        <w:t>ème</w:t>
      </w:r>
      <w:r>
        <w:rPr>
          <w:rFonts w:ascii="Book Antiqua" w:hAnsi="Book Antiqua" w:cs="Book Antiqua"/>
          <w:i w:val="0"/>
          <w:sz w:val="22"/>
          <w:szCs w:val="22"/>
        </w:rPr>
        <w:t xml:space="preserve"> années sont pour leurs parts définies dans le projet d’arrêté du Gouvernement y afférent et reprises dans la circulaire n°6652 du 14 mai 2018. </w:t>
      </w: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r>
        <w:rPr>
          <w:noProof/>
          <w:lang w:val="fr-BE" w:eastAsia="fr-BE"/>
        </w:rPr>
        <mc:AlternateContent>
          <mc:Choice Requires="wps">
            <w:drawing>
              <wp:anchor distT="0" distB="0" distL="114935" distR="114935" simplePos="0" relativeHeight="251660288" behindDoc="0" locked="0" layoutInCell="1" allowOverlap="1">
                <wp:simplePos x="0" y="0"/>
                <wp:positionH relativeFrom="column">
                  <wp:posOffset>3128065</wp:posOffset>
                </wp:positionH>
                <wp:positionV relativeFrom="paragraph">
                  <wp:posOffset>352287</wp:posOffset>
                </wp:positionV>
                <wp:extent cx="2513965" cy="1142365"/>
                <wp:effectExtent l="0" t="0" r="635" b="63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3965" cy="1142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ind w:firstLine="708"/>
                              <w:rPr>
                                <w:rFonts w:ascii="Book Antiqua" w:hAnsi="Book Antiqua"/>
                                <w:b/>
                                <w:sz w:val="22"/>
                                <w:szCs w:val="22"/>
                                <w:lang w:val="fr-BE"/>
                              </w:rPr>
                            </w:pPr>
                            <w:r>
                              <w:rPr>
                                <w:rFonts w:ascii="Book Antiqua" w:hAnsi="Book Antiqua"/>
                                <w:b/>
                                <w:sz w:val="22"/>
                                <w:szCs w:val="22"/>
                                <w:lang w:val="fr-BE"/>
                              </w:rPr>
                              <w:t xml:space="preserve">La Directrice générale </w:t>
                            </w:r>
                            <w:proofErr w:type="spellStart"/>
                            <w:r>
                              <w:rPr>
                                <w:rFonts w:ascii="Book Antiqua" w:hAnsi="Book Antiqua"/>
                                <w:b/>
                                <w:sz w:val="22"/>
                                <w:szCs w:val="22"/>
                                <w:lang w:val="fr-BE"/>
                              </w:rPr>
                              <w:t>a.i</w:t>
                            </w:r>
                            <w:proofErr w:type="spellEnd"/>
                            <w:r>
                              <w:rPr>
                                <w:rFonts w:ascii="Book Antiqua" w:hAnsi="Book Antiqua"/>
                                <w:b/>
                                <w:sz w:val="22"/>
                                <w:szCs w:val="22"/>
                                <w:lang w:val="fr-BE"/>
                              </w:rPr>
                              <w:t>.,</w:t>
                            </w:r>
                          </w:p>
                          <w:p>
                            <w:pPr>
                              <w:jc w:val="center"/>
                              <w:rPr>
                                <w:rFonts w:ascii="Book Antiqua" w:hAnsi="Book Antiqua"/>
                                <w:b/>
                                <w:sz w:val="24"/>
                                <w:szCs w:val="24"/>
                                <w:lang w:val="fr-BE"/>
                              </w:rPr>
                            </w:pPr>
                          </w:p>
                          <w:p>
                            <w:pPr>
                              <w:jc w:val="center"/>
                              <w:rPr>
                                <w:rFonts w:ascii="Book Antiqua" w:hAnsi="Book Antiqua"/>
                                <w:b/>
                                <w:sz w:val="24"/>
                                <w:szCs w:val="24"/>
                                <w:lang w:val="fr-BE"/>
                              </w:rPr>
                            </w:pPr>
                          </w:p>
                          <w:p>
                            <w:pPr>
                              <w:rPr>
                                <w:rFonts w:ascii="Book Antiqua" w:hAnsi="Book Antiqua"/>
                                <w:b/>
                                <w:sz w:val="24"/>
                                <w:szCs w:val="24"/>
                                <w:lang w:val="fr-BE"/>
                              </w:rPr>
                            </w:pPr>
                            <w:r>
                              <w:rPr>
                                <w:rFonts w:ascii="Book Antiqua" w:hAnsi="Book Antiqua"/>
                                <w:b/>
                                <w:sz w:val="24"/>
                                <w:szCs w:val="24"/>
                                <w:lang w:val="fr-BE"/>
                              </w:rPr>
                              <w:tab/>
                            </w:r>
                          </w:p>
                          <w:p>
                            <w:pPr>
                              <w:ind w:firstLine="708"/>
                              <w:rPr>
                                <w:rFonts w:ascii="Book Antiqua" w:hAnsi="Book Antiqua"/>
                                <w:b/>
                                <w:sz w:val="24"/>
                                <w:szCs w:val="24"/>
                                <w:lang w:val="fr-BE"/>
                              </w:rPr>
                            </w:pPr>
                            <w:r>
                              <w:rPr>
                                <w:rFonts w:ascii="Book Antiqua" w:hAnsi="Book Antiqua"/>
                                <w:b/>
                                <w:sz w:val="24"/>
                                <w:szCs w:val="24"/>
                                <w:lang w:val="fr-BE"/>
                              </w:rPr>
                              <w:t>Anne HELLEMANS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46.3pt;margin-top:27.75pt;width:197.95pt;height:89.95pt;z-index:2516602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" stroked="f">
                <v:textbox inset="0,0,0,0">
                  <w:txbxContent>
                    <w:p>
                      <w:pPr>
                        <w:ind w:firstLine="708"/>
                        <w:rPr>
                          <w:rFonts w:ascii="Book Antiqua" w:hAnsi="Book Antiqua"/>
                          <w:b/>
                          <w:sz w:val="22"/>
                          <w:szCs w:val="22"/>
                          <w:lang w:val="fr-BE"/>
                        </w:rPr>
                      </w:pPr>
                      <w:r>
                        <w:rPr>
                          <w:rFonts w:ascii="Book Antiqua" w:hAnsi="Book Antiqua"/>
                          <w:b/>
                          <w:sz w:val="22"/>
                          <w:szCs w:val="22"/>
                          <w:lang w:val="fr-BE"/>
                        </w:rPr>
                        <w:t xml:space="preserve">La Directrice générale </w:t>
                      </w:r>
                      <w:proofErr w:type="spellStart"/>
                      <w:r>
                        <w:rPr>
                          <w:rFonts w:ascii="Book Antiqua" w:hAnsi="Book Antiqua"/>
                          <w:b/>
                          <w:sz w:val="22"/>
                          <w:szCs w:val="22"/>
                          <w:lang w:val="fr-BE"/>
                        </w:rPr>
                        <w:t>a.i</w:t>
                      </w:r>
                      <w:proofErr w:type="spellEnd"/>
                      <w:r>
                        <w:rPr>
                          <w:rFonts w:ascii="Book Antiqua" w:hAnsi="Book Antiqua"/>
                          <w:b/>
                          <w:sz w:val="22"/>
                          <w:szCs w:val="22"/>
                          <w:lang w:val="fr-BE"/>
                        </w:rPr>
                        <w:t>.,</w:t>
                      </w:r>
                    </w:p>
                    <w:p>
                      <w:pPr>
                        <w:jc w:val="center"/>
                        <w:rPr>
                          <w:rFonts w:ascii="Book Antiqua" w:hAnsi="Book Antiqua"/>
                          <w:b/>
                          <w:sz w:val="24"/>
                          <w:szCs w:val="24"/>
                          <w:lang w:val="fr-BE"/>
                        </w:rPr>
                      </w:pPr>
                    </w:p>
                    <w:p>
                      <w:pPr>
                        <w:jc w:val="center"/>
                        <w:rPr>
                          <w:rFonts w:ascii="Book Antiqua" w:hAnsi="Book Antiqua"/>
                          <w:b/>
                          <w:sz w:val="24"/>
                          <w:szCs w:val="24"/>
                          <w:lang w:val="fr-BE"/>
                        </w:rPr>
                      </w:pPr>
                    </w:p>
                    <w:p>
                      <w:pPr>
                        <w:rPr>
                          <w:rFonts w:ascii="Book Antiqua" w:hAnsi="Book Antiqua"/>
                          <w:b/>
                          <w:sz w:val="24"/>
                          <w:szCs w:val="24"/>
                          <w:lang w:val="fr-BE"/>
                        </w:rPr>
                      </w:pPr>
                      <w:r>
                        <w:rPr>
                          <w:rFonts w:ascii="Book Antiqua" w:hAnsi="Book Antiqua"/>
                          <w:b/>
                          <w:sz w:val="24"/>
                          <w:szCs w:val="24"/>
                          <w:lang w:val="fr-BE"/>
                        </w:rPr>
                        <w:tab/>
                      </w:r>
                    </w:p>
                    <w:p>
                      <w:pPr>
                        <w:ind w:firstLine="708"/>
                        <w:rPr>
                          <w:rFonts w:ascii="Book Antiqua" w:hAnsi="Book Antiqua"/>
                          <w:b/>
                          <w:sz w:val="24"/>
                          <w:szCs w:val="24"/>
                          <w:lang w:val="fr-BE"/>
                        </w:rPr>
                      </w:pPr>
                      <w:r>
                        <w:rPr>
                          <w:rFonts w:ascii="Book Antiqua" w:hAnsi="Book Antiqua"/>
                          <w:b/>
                          <w:sz w:val="24"/>
                          <w:szCs w:val="24"/>
                          <w:lang w:val="fr-BE"/>
                        </w:rPr>
                        <w:t>Anne HELLEMANS</w:t>
                      </w:r>
                    </w:p>
                  </w:txbxContent>
                </v:textbox>
              </v:shape>
            </w:pict>
          </mc:Fallback>
        </mc:AlternateContent>
      </w: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p>
    <w:p>
      <w:pPr>
        <w:tabs>
          <w:tab w:val="left" w:pos="4253"/>
          <w:tab w:val="center" w:pos="4513"/>
        </w:tabs>
        <w:ind w:left="709" w:right="-188"/>
        <w:rPr>
          <w:rFonts w:ascii="Book Antiqua" w:hAnsi="Book Antiqua" w:cs="Book Antiqua"/>
          <w:bCs/>
          <w:spacing w:val="-2"/>
          <w:sz w:val="24"/>
          <w:szCs w:val="24"/>
        </w:rPr>
      </w:pPr>
    </w:p>
    <w:p>
      <w:pPr>
        <w:pStyle w:val="niveau2"/>
        <w:ind w:left="1698"/>
        <w:rPr>
          <w:color w:val="000000"/>
        </w:rPr>
        <w:sectPr>
          <w:footerReference w:type="default" r:id="rId22"/>
          <w:type w:val="oddPage"/>
          <w:pgSz w:w="11906" w:h="16838" w:code="9"/>
          <w:pgMar w:top="907" w:right="1134" w:bottom="907" w:left="1134" w:header="851" w:footer="851" w:gutter="0"/>
          <w:cols w:space="720"/>
          <w:docGrid w:linePitch="360"/>
        </w:sectPr>
      </w:pPr>
    </w:p>
    <w:p>
      <w:pPr>
        <w:pStyle w:val="niveau2"/>
        <w:ind w:left="1698"/>
        <w:rPr>
          <w:color w:val="000000"/>
        </w:rPr>
      </w:pPr>
      <w:bookmarkStart w:id="14" w:name="_Toc522700740"/>
      <w:r>
        <w:rPr>
          <w:color w:val="000000"/>
        </w:rPr>
        <w:lastRenderedPageBreak/>
        <w:t>CHAPITRE I : STRUCTURE DE L’ENSEIGNEMENT SECONDAIRE EN ALTERNANCE</w:t>
      </w:r>
      <w:bookmarkEnd w:id="14"/>
    </w:p>
    <w:p/>
    <w:p>
      <w:pPr>
        <w:pStyle w:val="niveau3"/>
        <w:ind w:left="709"/>
        <w:rPr>
          <w:u w:val="single"/>
        </w:rPr>
      </w:pPr>
      <w:bookmarkStart w:id="15" w:name="_Toc522700741"/>
      <w:r>
        <w:rPr>
          <w:u w:val="single"/>
        </w:rPr>
        <w:t>I. Centre d’éducation et de formation en alternance (CEFA)</w:t>
      </w:r>
      <w:bookmarkEnd w:id="15"/>
    </w:p>
    <w:p>
      <w:pPr>
        <w:pStyle w:val="niveau4"/>
        <w:ind w:left="709"/>
      </w:pPr>
      <w:bookmarkStart w:id="16" w:name="_Toc522700742"/>
      <w:r>
        <w:t>1. L’enseignement secondaire en alternance</w:t>
      </w:r>
      <w:r>
        <w:rPr>
          <w:u w:val="none"/>
        </w:rPr>
        <w:t xml:space="preserve"> </w:t>
      </w:r>
      <w:r>
        <w:rPr>
          <w:rStyle w:val="Caractresdenotedebasdepage"/>
          <w:color w:val="000000"/>
          <w:u w:val="none"/>
        </w:rPr>
        <w:footnoteReference w:id="1"/>
      </w:r>
      <w:bookmarkEnd w:id="16"/>
      <w:r>
        <w:t xml:space="preserve"> </w:t>
      </w:r>
    </w:p>
    <w:p>
      <w:pPr>
        <w:pStyle w:val="Titre10"/>
        <w:tabs>
          <w:tab w:val="left" w:pos="426"/>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L’enseignement secondaire en alternance est organisé dans des Centres d’éducation et de formation en alternance (CEFA).</w:t>
      </w:r>
    </w:p>
    <w:p>
      <w:pPr>
        <w:pStyle w:val="niveau4"/>
        <w:ind w:left="709"/>
        <w:rPr>
          <w:rStyle w:val="bookantica10Car"/>
          <w:color w:val="000000"/>
        </w:rPr>
      </w:pPr>
      <w:bookmarkStart w:id="17" w:name="_Toc522700743"/>
      <w:r>
        <w:t>2. Le CEFA</w:t>
      </w:r>
      <w:bookmarkEnd w:id="17"/>
      <w:r>
        <w:rPr>
          <w:rStyle w:val="bookantica10Car"/>
          <w:color w:val="000000"/>
        </w:rPr>
        <w:t xml:space="preserve"> </w:t>
      </w:r>
    </w:p>
    <w:p>
      <w:pPr>
        <w:pStyle w:val="Titre10"/>
        <w:spacing w:before="120" w:after="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Un CEFA est une structure commune à plusieurs établissements d’enseignement secondaire ordinaire et spécialisé de plein exercice organisant :</w:t>
      </w:r>
    </w:p>
    <w:p>
      <w:pPr>
        <w:autoSpaceDE w:val="0"/>
        <w:ind w:left="1418"/>
        <w:jc w:val="both"/>
        <w:rPr>
          <w:rFonts w:ascii="Book Antiqua" w:hAnsi="Book Antiqua" w:cs="Book Antiqua"/>
        </w:rPr>
      </w:pPr>
    </w:p>
    <w:p>
      <w:pPr>
        <w:numPr>
          <w:ilvl w:val="0"/>
          <w:numId w:val="29"/>
        </w:numPr>
        <w:tabs>
          <w:tab w:val="clear" w:pos="2488"/>
          <w:tab w:val="left" w:pos="1080"/>
          <w:tab w:val="num" w:pos="1843"/>
        </w:tabs>
        <w:autoSpaceDE w:val="0"/>
        <w:spacing w:after="120"/>
        <w:ind w:left="1418" w:firstLine="11"/>
        <w:jc w:val="both"/>
        <w:rPr>
          <w:rFonts w:ascii="Book Antiqua" w:hAnsi="Book Antiqua" w:cs="Book Antiqua"/>
          <w:szCs w:val="24"/>
        </w:rPr>
      </w:pPr>
      <w:r>
        <w:rPr>
          <w:rFonts w:ascii="Book Antiqua" w:hAnsi="Book Antiqua" w:cs="Book Antiqua"/>
        </w:rPr>
        <w:t>au 2</w:t>
      </w:r>
      <w:r>
        <w:rPr>
          <w:rFonts w:ascii="Book Antiqua" w:hAnsi="Book Antiqua" w:cs="Book Antiqua"/>
          <w:vertAlign w:val="superscript"/>
        </w:rPr>
        <w:t>e</w:t>
      </w:r>
      <w:r>
        <w:rPr>
          <w:rFonts w:ascii="Book Antiqua" w:hAnsi="Book Antiqua" w:cs="Book Antiqua"/>
        </w:rPr>
        <w:t xml:space="preserve"> degré et au 3</w:t>
      </w:r>
      <w:r>
        <w:rPr>
          <w:rFonts w:ascii="Book Antiqua" w:hAnsi="Book Antiqua" w:cs="Book Antiqua"/>
          <w:vertAlign w:val="superscript"/>
        </w:rPr>
        <w:t>e</w:t>
      </w:r>
      <w:r>
        <w:rPr>
          <w:rFonts w:ascii="Book Antiqua" w:hAnsi="Book Antiqua" w:cs="Book Antiqua"/>
        </w:rPr>
        <w:t xml:space="preserve"> degré, l'enseignement </w:t>
      </w:r>
      <w:r>
        <w:rPr>
          <w:rFonts w:ascii="Book Antiqua" w:hAnsi="Book Antiqua" w:cs="Book Antiqua"/>
          <w:szCs w:val="24"/>
        </w:rPr>
        <w:t>technique de qualification ou l'enseignement professionnel (y compris la forme 4) ;</w:t>
      </w:r>
    </w:p>
    <w:p>
      <w:pPr>
        <w:numPr>
          <w:ilvl w:val="0"/>
          <w:numId w:val="29"/>
        </w:numPr>
        <w:tabs>
          <w:tab w:val="clear" w:pos="2488"/>
          <w:tab w:val="left" w:pos="1080"/>
          <w:tab w:val="num" w:pos="1843"/>
        </w:tabs>
        <w:autoSpaceDE w:val="0"/>
        <w:ind w:left="1418" w:firstLine="11"/>
        <w:jc w:val="both"/>
        <w:rPr>
          <w:rFonts w:ascii="Book Antiqua" w:hAnsi="Book Antiqua" w:cs="Book Antiqua"/>
          <w:szCs w:val="24"/>
        </w:rPr>
      </w:pPr>
      <w:r>
        <w:rPr>
          <w:rFonts w:ascii="Book Antiqua" w:hAnsi="Book Antiqua" w:cs="Book Antiqua"/>
          <w:szCs w:val="24"/>
        </w:rPr>
        <w:t>l’enseignement secondaire spécialisé de forme 3.</w:t>
      </w:r>
    </w:p>
    <w:p>
      <w:pPr>
        <w:pStyle w:val="Titre1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Toutefois, un CEFA peut ne comporter qu’un seul établissement.</w:t>
      </w:r>
      <w:r>
        <w:rPr>
          <w:rStyle w:val="Caractresdenotedebasdepage"/>
          <w:rFonts w:ascii="Book Antiqua" w:hAnsi="Book Antiqua" w:cs="Book Antiqua"/>
          <w:color w:val="000000"/>
          <w:sz w:val="20"/>
          <w:szCs w:val="20"/>
        </w:rPr>
        <w:footnoteReference w:id="2"/>
      </w:r>
    </w:p>
    <w:p>
      <w:pPr>
        <w:pStyle w:val="Titre10"/>
        <w:tabs>
          <w:tab w:val="left" w:pos="426"/>
        </w:tabs>
        <w:spacing w:before="120"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 CEFA a son siège administratif dans un établissement d’enseignement secondaire ordinaire de plein exercice, qui est dénommé « établissement siège ».</w:t>
      </w:r>
      <w:r>
        <w:rPr>
          <w:rStyle w:val="Caractresdenotedebasdepage"/>
          <w:rFonts w:ascii="Book Antiqua" w:hAnsi="Book Antiqua" w:cs="Book Antiqua"/>
          <w:color w:val="000000"/>
          <w:sz w:val="20"/>
          <w:szCs w:val="20"/>
        </w:rPr>
        <w:footnoteReference w:id="3"/>
      </w:r>
    </w:p>
    <w:p>
      <w:pPr>
        <w:pStyle w:val="Titre10"/>
        <w:tabs>
          <w:tab w:val="left" w:pos="426"/>
        </w:tabs>
        <w:spacing w:before="120"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Une formation en alternance ne s’organise qu’aux :</w:t>
      </w:r>
    </w:p>
    <w:p>
      <w:pPr>
        <w:pStyle w:val="Titre10"/>
        <w:tabs>
          <w:tab w:val="left" w:pos="426"/>
        </w:tabs>
        <w:spacing w:before="120" w:after="120"/>
        <w:ind w:left="1985"/>
        <w:jc w:val="both"/>
        <w:rPr>
          <w:rFonts w:ascii="Book Antiqua" w:hAnsi="Book Antiqua" w:cs="Book Antiqua"/>
          <w:b w:val="0"/>
          <w:color w:val="000000"/>
          <w:sz w:val="20"/>
          <w:szCs w:val="20"/>
        </w:rPr>
      </w:pPr>
      <w:r>
        <w:rPr>
          <w:rFonts w:ascii="Book Antiqua" w:hAnsi="Book Antiqua" w:cs="Book Antiqua"/>
          <w:b w:val="0"/>
          <w:color w:val="000000"/>
          <w:sz w:val="20"/>
          <w:szCs w:val="20"/>
        </w:rPr>
        <w:t>- 2</w:t>
      </w:r>
      <w:r>
        <w:rPr>
          <w:rFonts w:ascii="Book Antiqua" w:hAnsi="Book Antiqua" w:cs="Book Antiqua"/>
          <w:b w:val="0"/>
          <w:color w:val="000000"/>
          <w:sz w:val="20"/>
          <w:szCs w:val="20"/>
          <w:vertAlign w:val="superscript"/>
        </w:rPr>
        <w:t>e</w:t>
      </w:r>
      <w:r>
        <w:rPr>
          <w:rFonts w:ascii="Book Antiqua" w:hAnsi="Book Antiqua" w:cs="Book Antiqua"/>
          <w:b w:val="0"/>
          <w:color w:val="000000"/>
          <w:sz w:val="20"/>
          <w:szCs w:val="20"/>
        </w:rPr>
        <w:t xml:space="preserve"> et 3</w:t>
      </w:r>
      <w:r>
        <w:rPr>
          <w:rFonts w:ascii="Book Antiqua" w:hAnsi="Book Antiqua" w:cs="Book Antiqua"/>
          <w:b w:val="0"/>
          <w:color w:val="000000"/>
          <w:sz w:val="20"/>
          <w:szCs w:val="20"/>
          <w:vertAlign w:val="superscript"/>
        </w:rPr>
        <w:t>e</w:t>
      </w:r>
      <w:r>
        <w:rPr>
          <w:rFonts w:ascii="Book Antiqua" w:hAnsi="Book Antiqua" w:cs="Book Antiqua"/>
          <w:b w:val="0"/>
          <w:color w:val="000000"/>
          <w:sz w:val="20"/>
          <w:szCs w:val="20"/>
        </w:rPr>
        <w:t xml:space="preserve"> degrés de l’enseignement professionnel ; </w:t>
      </w:r>
    </w:p>
    <w:p>
      <w:pPr>
        <w:pStyle w:val="Titre10"/>
        <w:tabs>
          <w:tab w:val="left" w:pos="426"/>
        </w:tabs>
        <w:spacing w:before="120" w:after="120"/>
        <w:ind w:left="1985"/>
        <w:jc w:val="both"/>
        <w:rPr>
          <w:rFonts w:ascii="Book Antiqua" w:hAnsi="Book Antiqua" w:cs="Book Antiqua"/>
          <w:b w:val="0"/>
          <w:color w:val="000000"/>
          <w:sz w:val="20"/>
          <w:szCs w:val="20"/>
        </w:rPr>
      </w:pPr>
      <w:r>
        <w:rPr>
          <w:rFonts w:ascii="Book Antiqua" w:hAnsi="Book Antiqua" w:cs="Book Antiqua"/>
          <w:b w:val="0"/>
          <w:color w:val="000000"/>
          <w:sz w:val="20"/>
          <w:szCs w:val="20"/>
        </w:rPr>
        <w:t>- au 3</w:t>
      </w:r>
      <w:r>
        <w:rPr>
          <w:rFonts w:ascii="Book Antiqua" w:hAnsi="Book Antiqua" w:cs="Book Antiqua"/>
          <w:b w:val="0"/>
          <w:color w:val="000000"/>
          <w:sz w:val="20"/>
          <w:szCs w:val="20"/>
          <w:vertAlign w:val="superscript"/>
        </w:rPr>
        <w:t>e</w:t>
      </w:r>
      <w:r>
        <w:rPr>
          <w:rFonts w:ascii="Book Antiqua" w:hAnsi="Book Antiqua" w:cs="Book Antiqua"/>
          <w:b w:val="0"/>
          <w:color w:val="000000"/>
          <w:sz w:val="20"/>
          <w:szCs w:val="20"/>
        </w:rPr>
        <w:t xml:space="preserve"> degré de l’enseignement technique de qualification.</w:t>
      </w:r>
    </w:p>
    <w:p>
      <w:pPr>
        <w:pStyle w:val="Titre10"/>
        <w:tabs>
          <w:tab w:val="left" w:pos="426"/>
        </w:tabs>
        <w:spacing w:before="120"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Toutefois, elle peut également être organisée, dans le cadre de l’enseignement expérimental visé par le décret du 14 juin 2018 précité, en 4e année sous le régime de la CPU de l’enseignement technique de qualification. </w:t>
      </w:r>
    </w:p>
    <w:p>
      <w:pPr>
        <w:pStyle w:val="Titre10"/>
        <w:tabs>
          <w:tab w:val="left" w:pos="426"/>
        </w:tabs>
        <w:spacing w:before="120" w:after="120"/>
        <w:ind w:left="1985"/>
        <w:jc w:val="both"/>
        <w:rPr>
          <w:rFonts w:ascii="Book Antiqua" w:hAnsi="Book Antiqua" w:cs="Book Antiqua"/>
          <w:b w:val="0"/>
          <w:color w:val="000000"/>
          <w:sz w:val="20"/>
          <w:szCs w:val="20"/>
        </w:rPr>
      </w:pPr>
    </w:p>
    <w:p>
      <w:pPr>
        <w:pStyle w:val="niveau4"/>
        <w:ind w:left="709"/>
      </w:pPr>
      <w:bookmarkStart w:id="18" w:name="_Toc522700744"/>
      <w:r>
        <w:t>3. La création d’un CEFA</w:t>
      </w:r>
      <w:r>
        <w:rPr>
          <w:u w:val="none"/>
        </w:rPr>
        <w:t xml:space="preserve"> </w:t>
      </w:r>
      <w:r>
        <w:rPr>
          <w:rStyle w:val="Caractresdenotedebasdepage"/>
          <w:color w:val="000000"/>
          <w:u w:val="none"/>
        </w:rPr>
        <w:footnoteReference w:id="4"/>
      </w:r>
      <w:bookmarkEnd w:id="18"/>
      <w:r>
        <w:t xml:space="preserve"> </w:t>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Par caractère d’enseignement, un CEFA est organisé ou subventionné dans chacune des zones pour autant qu'il atteigne au moins 12 élèves, soumis à l’obligation scolaire à temps partiel, régulièrement inscrits au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octobre de l’année scolaire en cours, en ce compris les élèves de l’enseignement secondaire spécialisé en alternance conformément à l’article 14, §4 du décret du 3 juillet 1991 organisant l’enseignement secondaire en alternance.</w:t>
      </w:r>
    </w:p>
    <w:p>
      <w:pPr>
        <w:pStyle w:val="Textebrut1"/>
        <w:widowControl/>
        <w:ind w:left="1418" w:firstLine="0"/>
        <w:rPr>
          <w:rFonts w:ascii="Book Antiqua" w:hAnsi="Book Antiqua" w:cs="Book Antiqua"/>
          <w:color w:val="000000"/>
          <w:lang w:val="fr-FR"/>
        </w:rPr>
      </w:pPr>
      <w:r>
        <w:rPr>
          <w:rFonts w:ascii="Book Antiqua" w:hAnsi="Book Antiqua" w:cs="Book Antiqua"/>
          <w:color w:val="000000"/>
          <w:lang w:val="fr-FR"/>
        </w:rPr>
        <w:t>Par caractère d'enseignement et dans chaque zone qui compte au 15 janvier plus de 4000 élèves inscrits dans l'enseignement technique de qualification et professionnel aux deuxième, troisième et quatrième degrés, il peut être organisé un deuxième CEFA.</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Le deuxième CEFA ainsi créé peut être maintenu aussi longtemps que le nombre d'élèves inscrits dans l'enseignement technique de qualification et professionnel des deuxième, troisième et quatrième degrés reste supérieur à 3 000.</w:t>
      </w:r>
    </w:p>
    <w:p>
      <w:pPr>
        <w:pStyle w:val="Textebrut1"/>
        <w:widowControl/>
        <w:spacing w:before="120" w:after="120"/>
        <w:ind w:left="1418" w:firstLine="0"/>
        <w:rPr>
          <w:rFonts w:ascii="Book Antiqua" w:hAnsi="Book Antiqua" w:cs="Book Antiqua"/>
          <w:color w:val="000000"/>
          <w:lang w:val="fr-FR"/>
        </w:rPr>
      </w:pPr>
    </w:p>
    <w:p>
      <w:pPr>
        <w:pStyle w:val="niveau4"/>
        <w:ind w:left="709"/>
      </w:pPr>
      <w:bookmarkStart w:id="19" w:name="_Toc522700745"/>
      <w:r>
        <w:t>4. Le maintien d’un CEFA</w:t>
      </w:r>
      <w:r>
        <w:rPr>
          <w:u w:val="none"/>
        </w:rPr>
        <w:t xml:space="preserve"> </w:t>
      </w:r>
      <w:r>
        <w:rPr>
          <w:rStyle w:val="Caractresdenotedebasdepage"/>
          <w:color w:val="000000"/>
          <w:u w:val="none"/>
        </w:rPr>
        <w:footnoteReference w:id="5"/>
      </w:r>
      <w:bookmarkEnd w:id="19"/>
      <w:r>
        <w:t xml:space="preserve"> </w:t>
      </w:r>
    </w:p>
    <w:p>
      <w:pPr>
        <w:pStyle w:val="Textebrut1"/>
        <w:widowControl/>
        <w:spacing w:before="240" w:after="240"/>
        <w:ind w:left="1418" w:firstLine="0"/>
        <w:rPr>
          <w:rFonts w:ascii="Book Antiqua" w:hAnsi="Book Antiqua" w:cs="Book Antiqua"/>
          <w:color w:val="000000"/>
          <w:lang w:val="fr-FR"/>
        </w:rPr>
      </w:pPr>
      <w:r>
        <w:rPr>
          <w:rFonts w:ascii="Book Antiqua" w:hAnsi="Book Antiqua" w:cs="Book Antiqua"/>
          <w:color w:val="000000"/>
          <w:lang w:val="fr-FR"/>
        </w:rPr>
        <w:t>Les CEFA existant au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septembre 2001 peuvent être maintenus aussi longtemps qu'ils comptent au moins 56 élèves régulièrement inscrits au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octobre. Le CEFA qui n'atteint pas cette norme est fusionné à cette date par absorption par le CEFA de la zone proposé au Ministre par le Comité de concertation compétent.</w:t>
      </w:r>
    </w:p>
    <w:p>
      <w:pPr>
        <w:pStyle w:val="Textebrut1"/>
        <w:widowControl/>
        <w:spacing w:before="240" w:after="240"/>
        <w:ind w:left="1418" w:firstLine="0"/>
        <w:rPr>
          <w:rFonts w:ascii="Century Schoolbook" w:hAnsi="Century Schoolbook" w:cs="Century Schoolbook"/>
          <w:lang w:val="fr-FR"/>
        </w:rPr>
      </w:pPr>
      <w:r>
        <w:rPr>
          <w:rFonts w:ascii="Book Antiqua" w:hAnsi="Book Antiqua" w:cs="Century Schoolbook"/>
          <w:lang w:val="fr-FR"/>
        </w:rPr>
        <w:t>Les élèves de l’enseignement secondaire spécialisé qui ont souscrit, soit un contrat d’apprentissage de professions exercées par des travailleurs salariés, soit un contrat de travail à temps partiel, soit toute autre forme de contrat ou de convention reconnue par la législation du travail et s’inscrivant dans le cadre d’une formation en alternance qui aura reçu l’approbation du Gouvernement de la Fédération Wallonie-Bruxelles, soit une convention ou un stage d’insertion socio-professionnelle, au 1</w:t>
      </w:r>
      <w:r>
        <w:rPr>
          <w:rFonts w:ascii="Book Antiqua" w:hAnsi="Book Antiqua" w:cs="Century Schoolbook"/>
          <w:vertAlign w:val="superscript"/>
          <w:lang w:val="fr-FR"/>
        </w:rPr>
        <w:t>er</w:t>
      </w:r>
      <w:r>
        <w:rPr>
          <w:rFonts w:ascii="Book Antiqua" w:hAnsi="Book Antiqua" w:cs="Century Schoolbook"/>
          <w:lang w:val="fr-FR"/>
        </w:rPr>
        <w:t xml:space="preserve"> octobre de l’année scolaire en cours, sont pris en compte pour l’application de cette disposition</w:t>
      </w:r>
      <w:r>
        <w:rPr>
          <w:rStyle w:val="Caractresdenotedebasdepage"/>
          <w:rFonts w:ascii="Book Antiqua" w:hAnsi="Book Antiqua" w:cs="Century Schoolbook"/>
          <w:lang w:val="fr-FR"/>
        </w:rPr>
        <w:footnoteReference w:id="6"/>
      </w:r>
      <w:r>
        <w:rPr>
          <w:rFonts w:ascii="Century Schoolbook" w:hAnsi="Century Schoolbook" w:cs="Century Schoolbook"/>
          <w:lang w:val="fr-FR"/>
        </w:rPr>
        <w:t>.</w:t>
      </w:r>
    </w:p>
    <w:p>
      <w:pPr>
        <w:pStyle w:val="niveau3"/>
        <w:ind w:left="709"/>
      </w:pPr>
      <w:bookmarkStart w:id="20" w:name="_Toc522700746"/>
      <w:r>
        <w:t xml:space="preserve">II. </w:t>
      </w:r>
      <w:r>
        <w:rPr>
          <w:u w:val="single"/>
        </w:rPr>
        <w:t>Etablissement coopérant</w:t>
      </w:r>
      <w:bookmarkEnd w:id="20"/>
      <w:r>
        <w:t xml:space="preserve"> </w:t>
      </w:r>
    </w:p>
    <w:p>
      <w:pPr>
        <w:pStyle w:val="niveau4"/>
        <w:ind w:left="709"/>
      </w:pPr>
      <w:bookmarkStart w:id="21" w:name="_Toc522700747"/>
      <w:r>
        <w:t>1. Notion</w:t>
      </w:r>
      <w:bookmarkEnd w:id="21"/>
      <w:r>
        <w:t xml:space="preserve"> </w:t>
      </w:r>
    </w:p>
    <w:p>
      <w:pPr>
        <w:pStyle w:val="Titre10"/>
        <w:tabs>
          <w:tab w:val="left" w:pos="426"/>
        </w:tabs>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établissements d’enseignement secondaire ordinaire de plein exercice qui organisent de l’enseignement technique de qualification ou de l’enseignement professionnel au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et au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degrés et qui participent à l’organisation de l’enseignement secondaire en alternance sont désignés « établissements coopérants ». </w:t>
      </w:r>
      <w:r>
        <w:rPr>
          <w:rStyle w:val="Caractresdenotedebasdepage"/>
          <w:rFonts w:ascii="Book Antiqua" w:hAnsi="Book Antiqua" w:cs="Book Antiqua"/>
          <w:color w:val="000000"/>
          <w:sz w:val="20"/>
          <w:szCs w:val="20"/>
        </w:rPr>
        <w:footnoteReference w:id="7"/>
      </w:r>
    </w:p>
    <w:p>
      <w:pPr>
        <w:pStyle w:val="Titre10"/>
        <w:tabs>
          <w:tab w:val="left" w:pos="426"/>
        </w:tabs>
        <w:spacing w:after="240"/>
        <w:ind w:left="1418"/>
        <w:jc w:val="both"/>
      </w:pPr>
      <w:r>
        <w:rPr>
          <w:rFonts w:ascii="Book Antiqua" w:hAnsi="Book Antiqua" w:cs="Book Antiqua"/>
          <w:b w:val="0"/>
          <w:color w:val="000000"/>
          <w:sz w:val="20"/>
          <w:szCs w:val="20"/>
        </w:rPr>
        <w:t xml:space="preserve">De même, les établissements d’enseignement secondaire spécialisé et les établissements d’enseignement de promotion sociale qui participent à l’organisation de l’enseignement secondaire en alternance sont des « établissements coopérants ». </w:t>
      </w:r>
      <w:r>
        <w:rPr>
          <w:rStyle w:val="Caractresdenotedebasdepage"/>
          <w:rFonts w:ascii="Book Antiqua" w:hAnsi="Book Antiqua" w:cs="Book Antiqua"/>
          <w:color w:val="000000"/>
          <w:sz w:val="20"/>
          <w:szCs w:val="20"/>
        </w:rPr>
        <w:footnoteReference w:id="8"/>
      </w:r>
    </w:p>
    <w:p>
      <w:pPr>
        <w:pStyle w:val="niveau4"/>
        <w:ind w:left="709"/>
      </w:pPr>
      <w:bookmarkStart w:id="22" w:name="_Toc522700748"/>
      <w:r>
        <w:t xml:space="preserve">2. Mise en place de la coopération </w:t>
      </w:r>
      <w:r>
        <w:rPr>
          <w:rStyle w:val="Caractresdenotedebasdepage"/>
          <w:b/>
          <w:color w:val="000000"/>
        </w:rPr>
        <w:footnoteReference w:id="9"/>
      </w:r>
      <w:bookmarkEnd w:id="22"/>
    </w:p>
    <w:p>
      <w:pPr>
        <w:pStyle w:val="Corpsdetexte"/>
        <w:ind w:left="1418"/>
        <w:rPr>
          <w:rFonts w:ascii="Book Antiqua" w:hAnsi="Book Antiqua" w:cs="Book Antiqua"/>
          <w:color w:val="000000"/>
          <w:sz w:val="20"/>
          <w:szCs w:val="20"/>
        </w:rPr>
      </w:pPr>
      <w:r>
        <w:rPr>
          <w:rFonts w:ascii="Book Antiqua" w:hAnsi="Book Antiqua" w:cs="Book Antiqua"/>
          <w:color w:val="000000"/>
          <w:sz w:val="20"/>
          <w:szCs w:val="20"/>
        </w:rPr>
        <w:t>Tout établissement de plein exercice qui organise de l’enseignement technique de qualification ou de l’enseignement professionnel aux 2</w:t>
      </w:r>
      <w:r>
        <w:rPr>
          <w:rFonts w:ascii="Book Antiqua" w:hAnsi="Book Antiqua" w:cs="Book Antiqua"/>
          <w:color w:val="000000"/>
          <w:sz w:val="20"/>
          <w:szCs w:val="20"/>
          <w:vertAlign w:val="superscript"/>
        </w:rPr>
        <w:t>ème</w:t>
      </w:r>
      <w:r>
        <w:rPr>
          <w:rFonts w:ascii="Book Antiqua" w:hAnsi="Book Antiqua" w:cs="Book Antiqua"/>
          <w:color w:val="000000"/>
          <w:sz w:val="20"/>
          <w:szCs w:val="20"/>
        </w:rPr>
        <w:t xml:space="preserve"> et 3</w:t>
      </w:r>
      <w:r>
        <w:rPr>
          <w:rFonts w:ascii="Book Antiqua" w:hAnsi="Book Antiqua" w:cs="Book Antiqua"/>
          <w:color w:val="000000"/>
          <w:sz w:val="20"/>
          <w:szCs w:val="20"/>
          <w:vertAlign w:val="superscript"/>
        </w:rPr>
        <w:t>ème</w:t>
      </w:r>
      <w:r>
        <w:rPr>
          <w:rFonts w:ascii="Book Antiqua" w:hAnsi="Book Antiqua" w:cs="Book Antiqua"/>
          <w:color w:val="000000"/>
          <w:sz w:val="20"/>
          <w:szCs w:val="20"/>
        </w:rPr>
        <w:t xml:space="preserve"> degrés de l’enseignement secondaire de plein exercice  et/ou qui organise la forme 3 (ou 4) de l’enseignement secondaire spécialisé peut demander à coopérer avec un CEFA de son caractère dans la zone où il a son siège. </w:t>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En cas de refus, il dispose d’un droit de recours auprès du Comité de concertation compétent via le Service général de l’Enseignement organisé par la Fédération Wallonie-Bruxelles pour les établissements de la Fédération Wallonie-Bruxelles, via les organes de représentation et de coordination de chacun des réseaux ou directement au Comité de concertation si le Pouvoir organisateur n’a pas adhéré à un organe de représentation. Pour l’enseignement secondaire spécialisé, l’avis du Conseil général de concertation pour l’enseignement spécialisé est requis.</w:t>
      </w:r>
    </w:p>
    <w:p>
      <w:pPr>
        <w:pStyle w:val="Titre10"/>
        <w:tabs>
          <w:tab w:val="left" w:pos="709"/>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Dans le respect des finalités propres à chaque filière d’enseignement, un CEFA peut, quant à lui, faire appel à la collaboration de tout établissement d’enseignement secondaire ordinaire ou spécialisé de plein exercice et de tout établissement de promotion sociale de même caractère.</w:t>
      </w:r>
      <w:r>
        <w:rPr>
          <w:rStyle w:val="Caractresdenotedebasdepage"/>
          <w:rFonts w:ascii="Book Antiqua" w:hAnsi="Book Antiqua" w:cs="Book Antiqua"/>
          <w:color w:val="000000"/>
          <w:sz w:val="20"/>
          <w:szCs w:val="20"/>
        </w:rPr>
        <w:footnoteReference w:id="10"/>
      </w:r>
    </w:p>
    <w:p>
      <w:pPr>
        <w:pStyle w:val="Titre10"/>
        <w:tabs>
          <w:tab w:val="left" w:pos="1134"/>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lastRenderedPageBreak/>
        <w:t>Sur avis favorable du Conseil général de concertation pour l’enseignement secondaire ordinaire ou du Conseil général de concertation pour l’enseignement spécialisé, selon le cas, le Gouvernement peut autoriser un établissement d’enseignement secondaire de plein exercice à être coopérant d’un CEFA d’une autre zone ou d’un autre caractère</w:t>
      </w:r>
      <w:r>
        <w:rPr>
          <w:rStyle w:val="Caractresdenotedebasdepage"/>
          <w:rFonts w:ascii="Book Antiqua" w:hAnsi="Book Antiqua" w:cs="Book Antiqua"/>
          <w:color w:val="000000"/>
          <w:sz w:val="20"/>
          <w:szCs w:val="20"/>
        </w:rPr>
        <w:footnoteReference w:id="11"/>
      </w:r>
      <w:r>
        <w:rPr>
          <w:rFonts w:ascii="Book Antiqua" w:hAnsi="Book Antiqua" w:cs="Book Antiqua"/>
          <w:b w:val="0"/>
          <w:color w:val="000000"/>
          <w:sz w:val="20"/>
          <w:szCs w:val="20"/>
        </w:rPr>
        <w:t>.</w:t>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Pour l’année scolaire 2018-2019, les demandes de coopération sont introduites au plus tard le 31 janvier 2018 par les Chefs d’établissement auprès du Service général de l’Enseignement organisé par la Fédération Wallonie-Bruxelles, des organes de représentation et de coordination de chacun des réseaux ou directement au Comité de concertation compétent si le Pouvoir organisateur n’a pas adhéré à un organe de représentation. Ces demandes doivent être motivées et préciser les modalités de la coopération. Chaque Comité de concertation avertit l’Administration des nouvelles coopérations mises en place.</w:t>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 Gouvernement peut autoriser des collaborations avec des établissements de caractères différents. Les demandes de collaboration sont introduites par le Président du Conseil de direction auprès du Conseil général de concertation pour l’enseignement secondaire via le Service général de l’Enseignement organisé par la Fédération Wallonie-Bruxelles, via les organes de représentation et de coordination de chacun des réseaux ou directement au Comité de concertation compétent si le Pouvoir organisateur n’a pas adhéré à un organe de représentation.</w:t>
      </w:r>
      <w:r>
        <w:rPr>
          <w:rStyle w:val="Caractresdenotedebasdepage"/>
          <w:rFonts w:ascii="Book Antiqua" w:hAnsi="Book Antiqua" w:cs="Book Antiqua"/>
          <w:color w:val="000000"/>
          <w:sz w:val="20"/>
          <w:szCs w:val="20"/>
        </w:rPr>
        <w:footnoteReference w:id="12"/>
      </w:r>
    </w:p>
    <w:p>
      <w:pPr>
        <w:pStyle w:val="Titre10"/>
        <w:spacing w:after="120"/>
        <w:ind w:left="1418"/>
        <w:jc w:val="both"/>
        <w:rPr>
          <w:rStyle w:val="Caractresdenotedebasdepage"/>
          <w:rFonts w:ascii="Book Antiqua" w:hAnsi="Book Antiqua" w:cs="Book Antiqua"/>
          <w:color w:val="000000"/>
          <w:sz w:val="20"/>
          <w:szCs w:val="20"/>
          <w:u w:val="single"/>
        </w:rPr>
      </w:pPr>
      <w:r>
        <w:rPr>
          <w:rFonts w:ascii="Book Antiqua" w:hAnsi="Book Antiqua" w:cs="Book Antiqua"/>
          <w:b w:val="0"/>
          <w:color w:val="000000"/>
          <w:sz w:val="20"/>
          <w:szCs w:val="20"/>
        </w:rPr>
        <w:t>Un établissement d’enseignement ne peut être ni le siège ni le coopérant de plus d’un CEFA</w:t>
      </w:r>
      <w:r>
        <w:rPr>
          <w:rStyle w:val="Caractresdenotedebasdepage"/>
          <w:rFonts w:ascii="Book Antiqua" w:hAnsi="Book Antiqua" w:cs="Book Antiqua"/>
          <w:color w:val="000000"/>
          <w:sz w:val="20"/>
          <w:szCs w:val="20"/>
        </w:rPr>
        <w:footnoteReference w:id="13"/>
      </w:r>
      <w:r>
        <w:rPr>
          <w:rFonts w:ascii="Book Antiqua" w:hAnsi="Book Antiqua" w:cs="Book Antiqua"/>
          <w:b w:val="0"/>
          <w:color w:val="000000"/>
          <w:sz w:val="20"/>
          <w:szCs w:val="20"/>
        </w:rPr>
        <w:t>.</w:t>
      </w:r>
    </w:p>
    <w:p>
      <w:pPr>
        <w:ind w:left="1418"/>
        <w:rPr>
          <w:rFonts w:ascii="Book Antiqua" w:hAnsi="Book Antiqua"/>
        </w:rPr>
      </w:pPr>
      <w:r>
        <w:rPr>
          <w:rFonts w:ascii="Book Antiqua" w:hAnsi="Book Antiqua"/>
        </w:rPr>
        <w:t>NB :</w:t>
      </w:r>
    </w:p>
    <w:p>
      <w:pPr>
        <w:ind w:left="1418"/>
        <w:jc w:val="both"/>
        <w:rPr>
          <w:rFonts w:ascii="Book Antiqua" w:hAnsi="Book Antiqua"/>
        </w:rPr>
      </w:pPr>
      <w:r>
        <w:rPr>
          <w:rFonts w:ascii="Book Antiqua" w:hAnsi="Book Antiqua"/>
        </w:rPr>
        <w:t xml:space="preserve">La coopération entre les établissements d’enseignement spécialisé et les CEFA est développée au </w:t>
      </w:r>
      <w:r>
        <w:rPr>
          <w:rFonts w:ascii="Book Antiqua" w:hAnsi="Book Antiqua" w:cs="Arial"/>
          <w:bCs/>
        </w:rPr>
        <w:t>chapitre 22 de la Circulaire n°5797 du 30 juin 2016</w:t>
      </w:r>
      <w:r>
        <w:rPr>
          <w:rFonts w:ascii="Book Antiqua" w:hAnsi="Book Antiqua" w:cs="Arial"/>
          <w:bCs/>
          <w:color w:val="000000"/>
        </w:rPr>
        <w:t>, relatif à l’enseignement en alternance au sein de l’enseignement secondaire spécialisé et à la coopération avec les Centres d’Education et de Formation en Alternance.</w:t>
      </w:r>
    </w:p>
    <w:p>
      <w:pPr>
        <w:pStyle w:val="niveau4"/>
        <w:ind w:left="709"/>
      </w:pPr>
      <w:bookmarkStart w:id="23" w:name="_Toc522700749"/>
      <w:r>
        <w:t>3. Modalités</w:t>
      </w:r>
      <w:bookmarkEnd w:id="23"/>
    </w:p>
    <w:p>
      <w:pPr>
        <w:pStyle w:val="Titre10"/>
        <w:tabs>
          <w:tab w:val="left" w:pos="1134"/>
        </w:tabs>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modalités de coopération entre le CEFA et chaque établissement coopérant sont fixées par les réseaux d’enseignement, notamment dans le respect des dispositions du Chapitre VIII.</w:t>
      </w:r>
    </w:p>
    <w:p>
      <w:pPr>
        <w:pStyle w:val="Titre10"/>
        <w:tabs>
          <w:tab w:val="left" w:pos="1134"/>
        </w:tabs>
        <w:spacing w:after="120"/>
        <w:ind w:left="1418"/>
        <w:jc w:val="both"/>
        <w:rPr>
          <w:rFonts w:ascii="Book Antiqua" w:hAnsi="Book Antiqua" w:cs="Book Antiqua"/>
          <w:b w:val="0"/>
          <w:color w:val="000000"/>
          <w:sz w:val="20"/>
          <w:szCs w:val="20"/>
        </w:rPr>
      </w:pPr>
      <w:r>
        <w:rPr>
          <w:rFonts w:ascii="Book Antiqua" w:hAnsi="Book Antiqua" w:cs="Book Antiqua"/>
          <w:b w:val="0"/>
          <w:i/>
          <w:iCs/>
          <w:color w:val="000000"/>
          <w:sz w:val="20"/>
          <w:szCs w:val="20"/>
        </w:rPr>
        <w:t>Pour l’enseignement organisé par la Fédération Wallonie-Bruxelles</w:t>
      </w:r>
      <w:r>
        <w:rPr>
          <w:rFonts w:ascii="Book Antiqua" w:hAnsi="Book Antiqua" w:cs="Book Antiqua"/>
          <w:b w:val="0"/>
          <w:color w:val="000000"/>
          <w:sz w:val="20"/>
          <w:szCs w:val="20"/>
        </w:rPr>
        <w:t>, après avoir déterminé les conditions et modes de coopération en Conseil de direction du CEFA, le Président du Conseil de direction soumet au Ministre compétent les demandes de coopération relevant de l’organisation des formations « articles 45, 47 et 49 » du décret « Missions ». Ces demandes sont introduites via le Service général de l’Enseignement organisé par la Fédération Wallonie-Bruxelles.</w:t>
      </w:r>
    </w:p>
    <w:p>
      <w:pPr>
        <w:pStyle w:val="Corpsdetexte"/>
      </w:pPr>
    </w:p>
    <w:p>
      <w:pPr>
        <w:pStyle w:val="niveau4"/>
        <w:ind w:left="709"/>
      </w:pPr>
      <w:bookmarkStart w:id="24" w:name="_Toc522700750"/>
      <w:r>
        <w:t>4. Modification des termes de la coopération entre établissements</w:t>
      </w:r>
      <w:bookmarkEnd w:id="24"/>
    </w:p>
    <w:p>
      <w:pPr>
        <w:pStyle w:val="Titre10"/>
        <w:tabs>
          <w:tab w:val="left" w:pos="1134"/>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L’établissement de plein exercice qui souhaite mettre fin à sa coopération avec un CEFA et devenir coopérant d’un autre CEFA de son caractère dans la zone où il a son siège en avertit les Services du Gouvernement</w:t>
      </w:r>
      <w:r>
        <w:rPr>
          <w:rStyle w:val="Appelnotedebasdep"/>
          <w:rFonts w:ascii="Book Antiqua" w:hAnsi="Book Antiqua"/>
          <w:b w:val="0"/>
          <w:color w:val="000000"/>
          <w:sz w:val="20"/>
          <w:szCs w:val="20"/>
        </w:rPr>
        <w:footnoteReference w:id="14"/>
      </w:r>
      <w:r>
        <w:rPr>
          <w:rFonts w:ascii="Book Antiqua" w:hAnsi="Book Antiqua" w:cs="Book Antiqua"/>
          <w:b w:val="0"/>
          <w:color w:val="000000"/>
          <w:sz w:val="20"/>
          <w:szCs w:val="20"/>
        </w:rPr>
        <w:t>.</w:t>
      </w:r>
    </w:p>
    <w:p>
      <w:pPr>
        <w:pStyle w:val="Titre10"/>
        <w:tabs>
          <w:tab w:val="left" w:pos="1134"/>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Par ailleurs, le Gouvernement de la Communauté française, sur avis favorable du Conseil Général de Concertation, peut autoriser un établissement de plein exercice à être </w:t>
      </w:r>
      <w:r>
        <w:rPr>
          <w:rFonts w:ascii="Book Antiqua" w:hAnsi="Book Antiqua" w:cs="Book Antiqua"/>
          <w:color w:val="000000"/>
          <w:sz w:val="20"/>
          <w:szCs w:val="20"/>
        </w:rPr>
        <w:t>coopérant d'un CEFA d'une autre zone ou d'un autre caractère</w:t>
      </w:r>
      <w:r>
        <w:rPr>
          <w:rFonts w:ascii="Book Antiqua" w:hAnsi="Book Antiqua" w:cs="Book Antiqua"/>
          <w:b w:val="0"/>
          <w:color w:val="000000"/>
          <w:sz w:val="20"/>
          <w:szCs w:val="20"/>
        </w:rPr>
        <w:t>.</w:t>
      </w:r>
    </w:p>
    <w:p>
      <w:pPr>
        <w:pStyle w:val="niveau3"/>
        <w:pageBreakBefore/>
        <w:ind w:left="709"/>
      </w:pPr>
      <w:bookmarkStart w:id="25" w:name="_Toc522700751"/>
      <w:r>
        <w:lastRenderedPageBreak/>
        <w:t xml:space="preserve">III. </w:t>
      </w:r>
      <w:r>
        <w:rPr>
          <w:u w:val="single"/>
        </w:rPr>
        <w:t>Structure d’enseignement</w:t>
      </w:r>
      <w:bookmarkEnd w:id="25"/>
      <w:r>
        <w:t xml:space="preserve"> </w:t>
      </w:r>
    </w:p>
    <w:p>
      <w:pPr>
        <w:pStyle w:val="Titre10"/>
        <w:tabs>
          <w:tab w:val="left" w:pos="709"/>
        </w:tabs>
        <w:spacing w:after="120"/>
        <w:ind w:left="1418"/>
        <w:jc w:val="both"/>
      </w:pPr>
      <w:r>
        <w:rPr>
          <w:rFonts w:ascii="Book Antiqua" w:hAnsi="Book Antiqua" w:cs="Book Antiqua"/>
          <w:b w:val="0"/>
          <w:color w:val="000000"/>
          <w:sz w:val="20"/>
          <w:szCs w:val="20"/>
        </w:rPr>
        <w:t xml:space="preserve">L’enseignement secondaire en alternance comprend un enseignement qui est organisé conformément aux articles 45, 47 et 49 du décret du 24 juillet 1997 </w:t>
      </w:r>
      <w:r>
        <w:rPr>
          <w:rFonts w:ascii="Book Antiqua" w:hAnsi="Book Antiqua" w:cs="Book Antiqua"/>
          <w:b w:val="0"/>
          <w:sz w:val="20"/>
          <w:szCs w:val="20"/>
          <w:lang w:val="fr-BE"/>
        </w:rPr>
        <w:t>définissant les missions prioritaires de l'enseignement fondamental et de l'enseignement secondaire et organisant les structures propres à les atteindre</w:t>
      </w:r>
      <w:r>
        <w:rPr>
          <w:rFonts w:ascii="Book Antiqua" w:hAnsi="Book Antiqua" w:cs="Book Antiqua"/>
          <w:b w:val="0"/>
          <w:color w:val="000000"/>
          <w:sz w:val="20"/>
          <w:szCs w:val="20"/>
        </w:rPr>
        <w:t xml:space="preserve">. </w:t>
      </w:r>
      <w:r>
        <w:rPr>
          <w:rStyle w:val="Caractresdenotedebasdepage"/>
          <w:rFonts w:ascii="Book Antiqua" w:hAnsi="Book Antiqua" w:cs="Book Antiqua"/>
          <w:color w:val="000000"/>
          <w:sz w:val="20"/>
          <w:szCs w:val="20"/>
        </w:rPr>
        <w:footnoteReference w:id="15"/>
      </w:r>
    </w:p>
    <w:p>
      <w:pPr>
        <w:pStyle w:val="niveau4"/>
        <w:ind w:left="709"/>
      </w:pPr>
      <w:bookmarkStart w:id="26" w:name="_Toc522700752"/>
      <w:r>
        <w:t>1. Organisation des formations relevant de l’article 49 du décret « Missions »</w:t>
      </w:r>
      <w:bookmarkEnd w:id="26"/>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formations visées par l’article 49 du décret « Missions » sont organisées aux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et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degrés de l’enseignement professionnel ainsi qu’au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 de l’enseignement technique de qualification</w:t>
      </w:r>
      <w:r>
        <w:rPr>
          <w:rStyle w:val="Caractresdenotedebasdepage"/>
          <w:rFonts w:ascii="Book Antiqua" w:hAnsi="Book Antiqua" w:cs="Book Antiqua"/>
          <w:color w:val="000000"/>
          <w:sz w:val="20"/>
          <w:szCs w:val="20"/>
        </w:rPr>
        <w:footnoteReference w:id="16"/>
      </w:r>
      <w:r>
        <w:rPr>
          <w:rFonts w:ascii="Book Antiqua" w:hAnsi="Book Antiqua" w:cs="Book Antiqua"/>
          <w:b w:val="0"/>
          <w:color w:val="000000"/>
          <w:sz w:val="20"/>
          <w:szCs w:val="20"/>
        </w:rPr>
        <w:t>. Au troisième degré, des 7</w:t>
      </w:r>
      <w:r>
        <w:rPr>
          <w:rFonts w:ascii="Book Antiqua" w:hAnsi="Book Antiqua" w:cs="Book Antiqua"/>
          <w:b w:val="0"/>
          <w:color w:val="000000"/>
          <w:sz w:val="20"/>
          <w:szCs w:val="20"/>
          <w:vertAlign w:val="superscript"/>
        </w:rPr>
        <w:t>èmes</w:t>
      </w:r>
      <w:r>
        <w:rPr>
          <w:rFonts w:ascii="Book Antiqua" w:hAnsi="Book Antiqua" w:cs="Book Antiqua"/>
          <w:b w:val="0"/>
          <w:color w:val="000000"/>
          <w:sz w:val="20"/>
          <w:szCs w:val="20"/>
        </w:rPr>
        <w:t xml:space="preserve"> années qualifiantes et complémentaires peuvent également être organisées. </w:t>
      </w:r>
    </w:p>
    <w:p>
      <w:pPr>
        <w:spacing w:before="240" w:after="120"/>
        <w:ind w:left="1418"/>
        <w:jc w:val="both"/>
        <w:rPr>
          <w:rFonts w:ascii="Book Antiqua" w:hAnsi="Book Antiqua" w:cs="Book Antiqua"/>
          <w:color w:val="000000"/>
        </w:rPr>
      </w:pPr>
      <w:r>
        <w:rPr>
          <w:rFonts w:ascii="Book Antiqua" w:hAnsi="Book Antiqua" w:cs="Book Antiqua"/>
          <w:color w:val="000000"/>
        </w:rPr>
        <w:t>Cette formation est dispensée par le CEFA dans un établissement scolaire à raison de 600 périodes de 50 minutes au moins par an, réparties sur 20 semaines au moins et comprend aussi, obligatoirement, au moins 600 heures d'activités de formation par le travail en entreprise par an, réparties sur 20 semaines au moins. Les 600 heures d’activités de formation ainsi organisées sont obligatoires tant pour les élèves mineurs que pour les élèves majeurs.</w:t>
      </w:r>
      <w:r>
        <w:rPr>
          <w:rStyle w:val="Caractresdenotedebasdepage"/>
          <w:rFonts w:ascii="Book Antiqua" w:hAnsi="Book Antiqua" w:cs="Book Antiqua"/>
          <w:color w:val="000000"/>
        </w:rPr>
        <w:footnoteReference w:id="17"/>
      </w:r>
    </w:p>
    <w:p>
      <w:pPr>
        <w:spacing w:before="240" w:after="120"/>
        <w:ind w:left="1418"/>
        <w:jc w:val="both"/>
        <w:rPr>
          <w:rFonts w:ascii="Book Antiqua" w:hAnsi="Book Antiqua" w:cs="Book Antiqua"/>
          <w:color w:val="000000"/>
        </w:rPr>
      </w:pPr>
      <w:r>
        <w:rPr>
          <w:rFonts w:ascii="Book Antiqua" w:hAnsi="Book Antiqua" w:cs="Book Antiqua"/>
          <w:color w:val="000000"/>
        </w:rPr>
        <w:t>L'année de formation peut se dérouler conformément au calendrier scolaire ou être organisée selon d'autres modalités. La formation peut être organisée en modules de formation.</w:t>
      </w:r>
      <w:r>
        <w:rPr>
          <w:rStyle w:val="Caractresdenotedebasdepage"/>
          <w:rFonts w:ascii="Book Antiqua" w:hAnsi="Book Antiqua" w:cs="Book Antiqua"/>
          <w:color w:val="000000"/>
        </w:rPr>
        <w:footnoteReference w:id="18"/>
      </w:r>
      <w:r>
        <w:rPr>
          <w:rFonts w:ascii="Book Antiqua" w:hAnsi="Book Antiqua" w:cs="Book Antiqua"/>
          <w:color w:val="000000"/>
        </w:rPr>
        <w:t xml:space="preserve"> </w:t>
      </w:r>
    </w:p>
    <w:p>
      <w:pPr>
        <w:spacing w:before="240" w:after="120"/>
        <w:ind w:left="1418"/>
        <w:jc w:val="both"/>
        <w:rPr>
          <w:rFonts w:ascii="Book Antiqua" w:hAnsi="Book Antiqua" w:cs="Book Antiqua"/>
          <w:color w:val="000000"/>
        </w:rPr>
      </w:pPr>
      <w:r>
        <w:rPr>
          <w:rFonts w:ascii="Book Antiqua" w:hAnsi="Book Antiqua" w:cs="Book Antiqua"/>
          <w:color w:val="000000"/>
        </w:rPr>
        <w:t xml:space="preserve">Lorsqu'il s'avère impossible, pour toute raison, de disposer d'au moins 600 heures d'activités de formation par le travail en entreprise pour une année de formation, des périodes complémentaires de formation professionnelle sont organisées dans le CEFA. </w:t>
      </w:r>
    </w:p>
    <w:p>
      <w:pPr>
        <w:spacing w:before="240" w:after="120"/>
        <w:ind w:left="1418"/>
        <w:jc w:val="both"/>
        <w:rPr>
          <w:rFonts w:ascii="Book Antiqua" w:hAnsi="Book Antiqua" w:cs="Book Antiqua"/>
          <w:color w:val="000000"/>
        </w:rPr>
      </w:pPr>
      <w:r>
        <w:rPr>
          <w:rFonts w:ascii="Book Antiqua" w:hAnsi="Book Antiqua" w:cs="Book Antiqua"/>
          <w:color w:val="000000"/>
        </w:rPr>
        <w:t>Toutefois, le nombre d'heures d'activité de formation en entreprise ne peut être inférieur à 300 par année de formation au deuxième degré et 450 par année de formation au troisième degré.</w:t>
      </w:r>
      <w:r>
        <w:rPr>
          <w:rStyle w:val="Caractresdenotedebasdepage"/>
          <w:rFonts w:ascii="Book Antiqua" w:hAnsi="Book Antiqua" w:cs="Book Antiqua"/>
          <w:color w:val="000000"/>
        </w:rPr>
        <w:footnoteReference w:id="19"/>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élèves majeurs qui ne suivent que la formation qualifiante ne visent que le certificat de qualification de 6</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année, le certificat de qualification de 7</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année ou l’attestation de compétences complémentaires au certificat de qualification qui en a permis l’accès. Néanmoins, ils sont tenus de suivre 600 périodes de formation dans l’établissement scolaire.</w:t>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règles de programmation d’options relevant de l’application de l’article 49 du décret « Missions » sont examinées sous le chapitre VI de la présente circulaire.</w:t>
      </w:r>
    </w:p>
    <w:p>
      <w:pPr>
        <w:pStyle w:val="niveau4"/>
        <w:ind w:left="709"/>
        <w:rPr>
          <w:rFonts w:ascii="Century Schoolbook" w:hAnsi="Century Schoolbook" w:cs="Century Schoolbook"/>
        </w:rPr>
      </w:pPr>
      <w:bookmarkStart w:id="27" w:name="_Toc522700753"/>
      <w:r>
        <w:t>2. Organisation des formations relevant de l’article 47 du décret « Missions »</w:t>
      </w:r>
      <w:r>
        <w:rPr>
          <w:rStyle w:val="Caractresdenotedebasdepage"/>
          <w:color w:val="000000"/>
        </w:rPr>
        <w:footnoteReference w:id="20"/>
      </w:r>
      <w:bookmarkEnd w:id="27"/>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formations visées par l’article 47 du décret « Missions » sont organisées ou subventionnées au niveau de la forme 3 de l’enseignement spécialisé.</w:t>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conditions d’accès sont définies dans la circulaire annuelle relative à l’organisation des établissements d’enseignement spécialisé, relevant de la direction de l’enseignement spécialisé.</w:t>
      </w:r>
    </w:p>
    <w:p>
      <w:pPr>
        <w:spacing w:before="240" w:after="120"/>
        <w:ind w:left="1418"/>
        <w:jc w:val="both"/>
        <w:rPr>
          <w:rFonts w:ascii="Book Antiqua" w:hAnsi="Book Antiqua" w:cs="Century Schoolbook"/>
          <w:bCs/>
        </w:rPr>
      </w:pPr>
      <w:r>
        <w:rPr>
          <w:rFonts w:ascii="Book Antiqua" w:hAnsi="Book Antiqua" w:cs="Century Schoolbook"/>
          <w:bCs/>
        </w:rPr>
        <w:lastRenderedPageBreak/>
        <w:t>Cette formation est dispensée à raison de 600 périodes de cinquante minutes au moins par an, réparties sur 20 semaines au moins et comprend aussi, obligatoirement, au moins 600 heures d’activité de formation par le travail en entreprise par an, réparties sur 20 semaines au moins.</w:t>
      </w:r>
    </w:p>
    <w:p>
      <w:pPr>
        <w:spacing w:before="240" w:after="120"/>
        <w:ind w:left="1418"/>
        <w:jc w:val="both"/>
        <w:rPr>
          <w:rFonts w:ascii="Book Antiqua" w:hAnsi="Book Antiqua" w:cs="Book Antiqua"/>
          <w:color w:val="000000"/>
        </w:rPr>
      </w:pPr>
      <w:r>
        <w:rPr>
          <w:rFonts w:ascii="Book Antiqua" w:hAnsi="Book Antiqua" w:cs="Century Schoolbook"/>
          <w:bCs/>
        </w:rPr>
        <w:t>L’année de formation peut se dérouler conformément au calendrier scolaire ou être organisée selon d’autres modalités. La formation peut être organisée en modules de formation.</w:t>
      </w:r>
      <w:r>
        <w:rPr>
          <w:rStyle w:val="Caractresdenotedebasdepage"/>
          <w:rFonts w:ascii="Book Antiqua" w:hAnsi="Book Antiqua" w:cs="Book Antiqua"/>
          <w:color w:val="000000"/>
        </w:rPr>
        <w:t xml:space="preserve"> </w:t>
      </w:r>
      <w:r>
        <w:rPr>
          <w:rStyle w:val="Caractresdenotedebasdepage"/>
          <w:rFonts w:ascii="Book Antiqua" w:hAnsi="Book Antiqua" w:cs="Book Antiqua"/>
          <w:color w:val="000000"/>
        </w:rPr>
        <w:footnoteReference w:id="21"/>
      </w:r>
      <w:r>
        <w:rPr>
          <w:rFonts w:ascii="Book Antiqua" w:hAnsi="Book Antiqua" w:cs="Book Antiqua"/>
          <w:color w:val="000000"/>
        </w:rPr>
        <w:t xml:space="preserve"> </w:t>
      </w:r>
    </w:p>
    <w:p>
      <w:pPr>
        <w:spacing w:before="240" w:after="120"/>
        <w:ind w:left="1418"/>
        <w:jc w:val="both"/>
        <w:rPr>
          <w:rFonts w:ascii="Book Antiqua" w:hAnsi="Book Antiqua" w:cs="Century Schoolbook"/>
          <w:bCs/>
        </w:rPr>
      </w:pPr>
      <w:r>
        <w:rPr>
          <w:rFonts w:ascii="Book Antiqua" w:hAnsi="Book Antiqua" w:cs="Century Schoolbook"/>
          <w:bCs/>
        </w:rPr>
        <w:t>Pour les élèves qui ne sont plus soumis à l’obligation scolaire, la partie de la formation assurée par l’enseignement peut être réduite à 300 périodes par année de formation.</w:t>
      </w:r>
    </w:p>
    <w:p>
      <w:pPr>
        <w:spacing w:before="240" w:after="120"/>
        <w:ind w:left="1418"/>
        <w:jc w:val="both"/>
        <w:rPr>
          <w:rFonts w:ascii="Book Antiqua" w:hAnsi="Book Antiqua" w:cs="Century Schoolbook"/>
        </w:rPr>
      </w:pPr>
      <w:r>
        <w:rPr>
          <w:rFonts w:ascii="Book Antiqua" w:hAnsi="Book Antiqua" w:cs="Century Schoolbook"/>
        </w:rPr>
        <w:t>Lorsqu’il s’avère impossible, pour toute raison, de disposer d’au moins 600 heures d’activité de formation par le travail en entreprise pour une année de formation, des périodes complémentaires de formation professionnelle sont organisées dans l’enseignement spécialisé.</w:t>
      </w:r>
    </w:p>
    <w:p>
      <w:pPr>
        <w:spacing w:before="240" w:after="120"/>
        <w:ind w:left="1418"/>
        <w:jc w:val="both"/>
        <w:rPr>
          <w:rFonts w:ascii="Book Antiqua" w:hAnsi="Book Antiqua" w:cs="Century Schoolbook"/>
        </w:rPr>
      </w:pPr>
      <w:r>
        <w:rPr>
          <w:rFonts w:ascii="Book Antiqua" w:hAnsi="Book Antiqua" w:cs="Century Schoolbook"/>
        </w:rPr>
        <w:t>Toutefois, le nombre d’heures d’activité de formation par le travail en entreprise ne peut être inférieur à 300 par année de formation.</w:t>
      </w:r>
    </w:p>
    <w:p>
      <w:pPr>
        <w:spacing w:before="240" w:after="240"/>
        <w:ind w:left="1418"/>
        <w:jc w:val="both"/>
        <w:rPr>
          <w:rFonts w:ascii="Book Antiqua" w:hAnsi="Book Antiqua" w:cs="Century Schoolbook"/>
        </w:rPr>
      </w:pPr>
      <w:r>
        <w:rPr>
          <w:rFonts w:ascii="Book Antiqua" w:hAnsi="Book Antiqua" w:cs="Century Schoolbook"/>
        </w:rPr>
        <w:t>Pour des raisons exceptionnelles, une dérogation aux dispositions reprises ci-dessus peut être accordée par le Ministre en charge de l’Enseignement en Alternance. Les demandes de dérogations sont introduites auprès de la DGEO, rue Adolphe Lavallée 1 à 1080 Bruxelles</w:t>
      </w:r>
      <w:r>
        <w:rPr>
          <w:rStyle w:val="Appelnotedebasdep"/>
          <w:rFonts w:ascii="Book Antiqua" w:hAnsi="Book Antiqua"/>
        </w:rPr>
        <w:footnoteReference w:id="22"/>
      </w:r>
      <w:r>
        <w:rPr>
          <w:rFonts w:ascii="Book Antiqua" w:hAnsi="Book Antiqua" w:cs="Century Schoolbook"/>
        </w:rPr>
        <w:t>.</w:t>
      </w:r>
    </w:p>
    <w:p>
      <w:pPr>
        <w:spacing w:before="240" w:after="240"/>
        <w:ind w:left="1418"/>
        <w:jc w:val="both"/>
        <w:rPr>
          <w:rFonts w:ascii="Book Antiqua" w:hAnsi="Book Antiqua" w:cs="Century Schoolbook"/>
        </w:rPr>
      </w:pPr>
      <w:r>
        <w:rPr>
          <w:rFonts w:ascii="Book Antiqua" w:hAnsi="Book Antiqua" w:cs="Century Schoolbook"/>
          <w:u w:val="single"/>
        </w:rPr>
        <w:t>NB</w:t>
      </w:r>
      <w:r>
        <w:rPr>
          <w:rFonts w:ascii="Book Antiqua" w:hAnsi="Book Antiqua" w:cs="Century Schoolbook"/>
        </w:rPr>
        <w:t> : un élève suivant une formation en alternance relevant de l’article 47 du décret « Missions », forme 3 ou forme 4, reste inscrit dans l’établissement d’enseignement spécialisé.</w:t>
      </w:r>
    </w:p>
    <w:p>
      <w:pPr>
        <w:pStyle w:val="niveau4"/>
        <w:ind w:left="709"/>
      </w:pPr>
      <w:bookmarkStart w:id="28" w:name="_Toc522700754"/>
      <w:r>
        <w:t>3. Organisation des formations relevant de l’article 45 du décret « Missions »</w:t>
      </w:r>
      <w:bookmarkEnd w:id="28"/>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formations visées par l’article 45 du décret « Missions » sont organisées au niveau des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et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degrés de l’enseignement professionnel. </w:t>
      </w:r>
      <w:r>
        <w:rPr>
          <w:rStyle w:val="Caractresdenotedebasdepage"/>
          <w:rFonts w:ascii="Book Antiqua" w:hAnsi="Book Antiqua" w:cs="Book Antiqua"/>
          <w:color w:val="000000"/>
          <w:sz w:val="20"/>
          <w:szCs w:val="20"/>
        </w:rPr>
        <w:footnoteReference w:id="23"/>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conditions d’accès aux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et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degrés de l’enseignement professionnel sont reprises au chapitre II, point IV de la présente circulaire.</w:t>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Cette formation est dispensée par le CEFA dans un établissement scolaire à raison de 600 périodes de 50 minutes au moins par an, réparties sur 20 semaines au moins et comprend aussi, obligatoirement, au moins 600 heures d'activité de formation par le travail en entreprise par an, réparties sur 20 semaines au moins.</w:t>
      </w:r>
      <w:r>
        <w:rPr>
          <w:rStyle w:val="Caractresdenotedebasdepage"/>
          <w:rFonts w:ascii="Book Antiqua" w:hAnsi="Book Antiqua" w:cs="Book Antiqua"/>
          <w:color w:val="000000"/>
          <w:lang w:val="fr-FR"/>
        </w:rPr>
        <w:footnoteReference w:id="24"/>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L'année de formation peut se dérouler conformément au calendrier scolaire ou être organisée selon d'autres modalités. La formation peut être organisée en modules de formation.</w:t>
      </w:r>
      <w:r>
        <w:rPr>
          <w:rStyle w:val="Caractresdenotedebasdepage"/>
          <w:rFonts w:ascii="Book Antiqua" w:hAnsi="Book Antiqua" w:cs="Book Antiqua"/>
          <w:color w:val="000000"/>
          <w:lang w:val="fr-FR"/>
        </w:rPr>
        <w:footnoteReference w:id="25"/>
      </w:r>
      <w:r>
        <w:rPr>
          <w:rFonts w:ascii="Book Antiqua" w:hAnsi="Book Antiqua" w:cs="Book Antiqua"/>
          <w:color w:val="000000"/>
          <w:lang w:val="fr-FR"/>
        </w:rPr>
        <w:t xml:space="preserve"> </w:t>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Pour les élèves qui ne sont plus soumis à l'obligation scolaire, la partie de la formation assurée par l'enseignement peut être réduite à 300 périodes par année de formation.</w:t>
      </w:r>
      <w:r>
        <w:rPr>
          <w:rStyle w:val="Caractresdenotedebasdepage"/>
          <w:rFonts w:ascii="Book Antiqua" w:hAnsi="Book Antiqua" w:cs="Book Antiqua"/>
          <w:color w:val="000000"/>
        </w:rPr>
        <w:footnoteReference w:id="26"/>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Lorsqu'il s'avère impossible, pour toute raison, de disposer d'au moins 600 heures d'activité de formation par le travail en entreprise pour une année de formation, des périodes complémentaires de formation professionnelle doivent être organisées dans le CEFA.</w:t>
      </w:r>
      <w:r>
        <w:rPr>
          <w:rStyle w:val="Caractresdenotedebasdepage"/>
          <w:rFonts w:ascii="Book Antiqua" w:hAnsi="Book Antiqua" w:cs="Book Antiqua"/>
          <w:color w:val="000000"/>
          <w:lang w:val="fr-FR"/>
        </w:rPr>
        <w:footnoteReference w:id="27"/>
      </w:r>
      <w:r>
        <w:rPr>
          <w:rFonts w:ascii="Book Antiqua" w:hAnsi="Book Antiqua" w:cs="Book Antiqua"/>
          <w:color w:val="000000"/>
          <w:lang w:val="fr-FR"/>
        </w:rPr>
        <w:t xml:space="preserve"> </w:t>
      </w:r>
    </w:p>
    <w:p>
      <w:pPr>
        <w:pStyle w:val="Textebrut1"/>
        <w:widowControl/>
        <w:spacing w:before="240" w:after="120"/>
        <w:ind w:left="1418" w:firstLine="0"/>
        <w:rPr>
          <w:lang w:val="fr-FR"/>
        </w:rPr>
      </w:pPr>
      <w:r>
        <w:rPr>
          <w:rFonts w:ascii="Book Antiqua" w:hAnsi="Book Antiqua" w:cs="Book Antiqua"/>
          <w:color w:val="000000"/>
          <w:lang w:val="fr-FR"/>
        </w:rPr>
        <w:lastRenderedPageBreak/>
        <w:t xml:space="preserve">Toutefois, le nombre d'heures d'activité de formation par le travail en entreprise ne peut être inférieur à 300 par année de formation au deuxième degré et 450 par année de formation au troisième degré. </w:t>
      </w:r>
      <w:r>
        <w:rPr>
          <w:rStyle w:val="Caractresdenotedebasdepage"/>
          <w:rFonts w:ascii="Book Antiqua" w:hAnsi="Book Antiqua" w:cs="Book Antiqua"/>
          <w:color w:val="000000"/>
          <w:lang w:val="fr-FR"/>
        </w:rPr>
        <w:footnoteReference w:id="28"/>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color w:val="000000"/>
          <w:sz w:val="20"/>
          <w:szCs w:val="20"/>
        </w:rPr>
        <w:t xml:space="preserve">Pour des raisons exceptionnelles, une dérogation aux dispositions reprises ci-dessus peut être accordée par la Ministre. Les demandes de dérogation sont introduites auprès de la Direction générale de l’enseignement obligatoire, rue A. Lavallée 1 à 1080 Bruxelles. </w:t>
      </w:r>
      <w:r>
        <w:rPr>
          <w:rStyle w:val="Caractresdenotedebasdepage"/>
          <w:rFonts w:ascii="Book Antiqua" w:hAnsi="Book Antiqua" w:cs="Book Antiqua"/>
          <w:color w:val="000000"/>
          <w:sz w:val="20"/>
          <w:szCs w:val="20"/>
        </w:rPr>
        <w:footnoteReference w:id="29"/>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élèves mineurs sont tenus de suivre une formation générale.</w:t>
      </w:r>
    </w:p>
    <w:p>
      <w:pPr>
        <w:pStyle w:val="Titre10"/>
        <w:spacing w:after="24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règles d’organisation d’options relevant de l’application de l’article 45 du décret « Missions », ainsi que le répertoire de ces options sont examinées au  chapitre VI de la présente circulaire.</w:t>
      </w:r>
    </w:p>
    <w:p>
      <w:pPr>
        <w:pStyle w:val="niveau4"/>
        <w:ind w:left="709"/>
      </w:pPr>
      <w:bookmarkStart w:id="29" w:name="_Toc522700755"/>
      <w:r>
        <w:t>4. Formations qui, ne correspondant pas à un profil de formation spécifique approuvé par le Gouvernement, sont organisées en urgence</w:t>
      </w:r>
      <w:bookmarkEnd w:id="29"/>
    </w:p>
    <w:p>
      <w:pPr>
        <w:spacing w:after="120"/>
        <w:ind w:left="1418"/>
        <w:jc w:val="both"/>
        <w:rPr>
          <w:rFonts w:ascii="Book Antiqua" w:hAnsi="Book Antiqua" w:cs="Book Antiqua"/>
          <w:color w:val="000000"/>
        </w:rPr>
      </w:pPr>
      <w:r>
        <w:rPr>
          <w:rFonts w:ascii="Book Antiqua" w:hAnsi="Book Antiqua" w:cs="Book Antiqua"/>
          <w:color w:val="000000"/>
        </w:rPr>
        <w:t xml:space="preserve">En cas d’urgence, le Ministre peut autoriser l’organisation d’une formation qui ne correspond pas à un profil de certification « article 45 ». </w:t>
      </w:r>
      <w:r>
        <w:rPr>
          <w:rStyle w:val="Caractresdenotedebasdepage"/>
          <w:rFonts w:ascii="Book Antiqua" w:hAnsi="Book Antiqua" w:cs="Book Antiqua"/>
          <w:color w:val="000000"/>
        </w:rPr>
        <w:footnoteReference w:id="30"/>
      </w:r>
    </w:p>
    <w:p>
      <w:pPr>
        <w:spacing w:after="120"/>
        <w:ind w:left="1418"/>
        <w:jc w:val="both"/>
        <w:rPr>
          <w:rFonts w:ascii="Book Antiqua" w:hAnsi="Book Antiqua" w:cs="Book Antiqua"/>
          <w:color w:val="000000"/>
        </w:rPr>
      </w:pPr>
      <w:r>
        <w:rPr>
          <w:rFonts w:ascii="Book Antiqua" w:hAnsi="Book Antiqua" w:cs="Book Antiqua"/>
          <w:color w:val="000000"/>
        </w:rPr>
        <w:t>Soulignons qu’il n’y a pas de passage automatique entre les mesures urgentes (art. 2</w:t>
      </w:r>
      <w:r>
        <w:rPr>
          <w:rFonts w:ascii="Book Antiqua" w:hAnsi="Book Antiqua" w:cs="Book Antiqua"/>
          <w:i/>
          <w:color w:val="000000"/>
        </w:rPr>
        <w:t>bis</w:t>
      </w:r>
      <w:r>
        <w:rPr>
          <w:rFonts w:ascii="Book Antiqua" w:hAnsi="Book Antiqua" w:cs="Book Antiqua"/>
          <w:color w:val="000000"/>
        </w:rPr>
        <w:t xml:space="preserve">, §2) et les formations « article 45 ». Ces dernières doivent faire l’objet d’une demande conforme aux dispositions précisées au Chapitre VI, point I. </w:t>
      </w:r>
    </w:p>
    <w:p>
      <w:pPr>
        <w:spacing w:after="60"/>
        <w:ind w:left="1418"/>
        <w:jc w:val="both"/>
        <w:rPr>
          <w:rFonts w:ascii="Book Antiqua" w:hAnsi="Book Antiqua" w:cs="Book Antiqua"/>
          <w:color w:val="000000"/>
        </w:rPr>
      </w:pPr>
      <w:r>
        <w:rPr>
          <w:rFonts w:ascii="Book Antiqua" w:hAnsi="Book Antiqua" w:cs="Book Antiqua"/>
          <w:i/>
          <w:color w:val="000000"/>
        </w:rPr>
        <w:t>Pour le réseau d’enseignement organisé par la Fédération Wallonie-Bruxelles</w:t>
      </w:r>
      <w:r>
        <w:rPr>
          <w:rFonts w:ascii="Book Antiqua" w:hAnsi="Book Antiqua" w:cs="Book Antiqua"/>
          <w:color w:val="000000"/>
        </w:rPr>
        <w:t>, les demandes sont introduites au minimum 1 mois avant l’ouverture de la formation auprès du Service général de l’Enseignement organisé par la Fédération Wallonie-Bruxelles. Tant que le profil de certification spécifique n’est pas défini par le Gouvernement, en application de l’article 39 du décret « Missions »</w:t>
      </w:r>
      <w:r>
        <w:rPr>
          <w:rStyle w:val="Caractresdenotedebasdepage"/>
          <w:rFonts w:ascii="Book Antiqua" w:hAnsi="Book Antiqua" w:cs="Book Antiqua"/>
          <w:color w:val="000000"/>
        </w:rPr>
        <w:footnoteReference w:id="31"/>
      </w:r>
      <w:r>
        <w:rPr>
          <w:rFonts w:ascii="Book Antiqua" w:hAnsi="Book Antiqua" w:cs="Book Antiqua"/>
          <w:color w:val="000000"/>
        </w:rPr>
        <w:t xml:space="preserve">, les demandes seront accompagnées d’un dossier comprenant au minimum :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t>le(s) lieu(x) d’insertion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t>le degré dans lequel sera organisée la formation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t>le nombre d’élèves déjà inscrits ou en voie de l’être dans le degré où sera organisée ladite formation, à la date d’introduction du dossier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t>un plan de formation et une description du métier qui vise les compétences à atteindre si le profil de formation n’a pas été approuvé par la CCPQ et le CGC ou le profil de formation élaboré par le Service Francophone des Métiers et des Qualifications (SFMQ) mais non encore approuvé par le Gouvernement de la Fédération Wallonie-Bruxelles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t>si possible, le nombre de contrats de formation en entreprise estimé par le CEFA pour la formation demandée dans le cadre de la déclinaison des lieux d’insertion.</w:t>
      </w:r>
    </w:p>
    <w:p>
      <w:pPr>
        <w:ind w:left="1418"/>
        <w:jc w:val="both"/>
        <w:rPr>
          <w:rFonts w:ascii="Book Antiqua" w:hAnsi="Book Antiqua" w:cs="Book Antiqua"/>
          <w:i/>
          <w:color w:val="000000"/>
        </w:rPr>
      </w:pPr>
    </w:p>
    <w:p>
      <w:pPr>
        <w:ind w:left="1418"/>
        <w:jc w:val="both"/>
        <w:rPr>
          <w:rFonts w:ascii="Book Antiqua" w:hAnsi="Book Antiqua" w:cs="Book Antiqua"/>
          <w:i/>
          <w:color w:val="000000"/>
        </w:rPr>
      </w:pPr>
    </w:p>
    <w:p>
      <w:pPr>
        <w:ind w:left="1418"/>
        <w:jc w:val="both"/>
        <w:rPr>
          <w:rFonts w:ascii="Book Antiqua" w:hAnsi="Book Antiqua" w:cs="Book Antiqua"/>
          <w:i/>
          <w:color w:val="000000"/>
        </w:rPr>
      </w:pPr>
    </w:p>
    <w:p>
      <w:pPr>
        <w:ind w:left="1418"/>
        <w:jc w:val="both"/>
        <w:rPr>
          <w:rFonts w:ascii="Book Antiqua" w:hAnsi="Book Antiqua" w:cs="Book Antiqua"/>
          <w:i/>
          <w:color w:val="000000"/>
        </w:rPr>
      </w:pPr>
    </w:p>
    <w:p>
      <w:pPr>
        <w:ind w:left="1418"/>
        <w:jc w:val="both"/>
        <w:rPr>
          <w:rFonts w:ascii="Book Antiqua" w:hAnsi="Book Antiqua" w:cs="Book Antiqua"/>
          <w:i/>
          <w:color w:val="000000"/>
        </w:rPr>
      </w:pPr>
    </w:p>
    <w:p>
      <w:pPr>
        <w:ind w:left="1418"/>
        <w:jc w:val="both"/>
        <w:rPr>
          <w:rFonts w:ascii="Book Antiqua" w:hAnsi="Book Antiqua" w:cs="Book Antiqua"/>
          <w:i/>
          <w:color w:val="000000"/>
        </w:rPr>
      </w:pPr>
    </w:p>
    <w:p>
      <w:pPr>
        <w:ind w:left="1418"/>
        <w:jc w:val="both"/>
        <w:rPr>
          <w:rFonts w:ascii="Book Antiqua" w:hAnsi="Book Antiqua" w:cs="Book Antiqua"/>
          <w:color w:val="000000"/>
        </w:rPr>
      </w:pPr>
      <w:r>
        <w:rPr>
          <w:rFonts w:ascii="Book Antiqua" w:hAnsi="Book Antiqua" w:cs="Book Antiqua"/>
          <w:i/>
          <w:color w:val="000000"/>
        </w:rPr>
        <w:t>Pour l’enseignement subventionné par la Fédération Wallonie-Bruxelles</w:t>
      </w:r>
      <w:r>
        <w:rPr>
          <w:rFonts w:ascii="Book Antiqua" w:hAnsi="Book Antiqua" w:cs="Book Antiqua"/>
          <w:color w:val="000000"/>
        </w:rPr>
        <w:t xml:space="preserve">, les demandes sont introduites au minimum 1 mois avant l’ouverture de la formation auprès de la Direction générale de l’enseignement obligatoire, via les organes de représentation et de coordination de chacun des réseaux ou directement à l’administration si le Pouvoir organisateur n’a pas adhéré à un organe de représentation. Un dossier motivé doit être joint aux demandes, ce dossier comprenant au minimum :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lastRenderedPageBreak/>
        <w:t>le(s) lieu(x) d’insertion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t>le degré dans lequel sera organisée la formation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t>le nombre d’élèves déjà inscrits ou en voie de l’être dans le degré où sera organisée ladite formation, à la date d’introduction du dossier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t>un plan de formation et une description du métier qui vise les compétences à atteindre si le profil de formation n’a pas été approuvé par la CCPQ et le CGC ou le profil de formation uniquement, si celui-ci a déjà été élaboré par le SFMQ mais non encore approuvé par le Gouvernement de la Fédération Wallonie-Bruxelles ;</w:t>
      </w:r>
    </w:p>
    <w:p>
      <w:pPr>
        <w:numPr>
          <w:ilvl w:val="0"/>
          <w:numId w:val="41"/>
        </w:numPr>
        <w:tabs>
          <w:tab w:val="clear" w:pos="2471"/>
        </w:tabs>
        <w:ind w:left="3119"/>
        <w:jc w:val="both"/>
        <w:rPr>
          <w:rFonts w:ascii="Book Antiqua" w:hAnsi="Book Antiqua" w:cs="Book Antiqua"/>
          <w:color w:val="000000"/>
          <w:sz w:val="18"/>
          <w:szCs w:val="18"/>
        </w:rPr>
      </w:pPr>
      <w:r>
        <w:rPr>
          <w:rFonts w:ascii="Book Antiqua" w:hAnsi="Book Antiqua" w:cs="Book Antiqua"/>
          <w:color w:val="000000"/>
          <w:sz w:val="18"/>
          <w:szCs w:val="18"/>
        </w:rPr>
        <w:t>si possible, le nombre de contrats de formation en entreprise estimé par le CEFA pour la formation demandée dans le cadre de la déclinaison des lieux d’insertion.</w:t>
      </w:r>
    </w:p>
    <w:p>
      <w:pPr>
        <w:tabs>
          <w:tab w:val="left" w:pos="2609"/>
        </w:tabs>
        <w:ind w:left="709"/>
        <w:jc w:val="both"/>
        <w:rPr>
          <w:rFonts w:ascii="Book Antiqua" w:hAnsi="Book Antiqua" w:cs="Book Antiqua"/>
          <w:color w:val="000000"/>
          <w:sz w:val="18"/>
          <w:szCs w:val="18"/>
        </w:rPr>
      </w:pPr>
    </w:p>
    <w:p>
      <w:pPr>
        <w:tabs>
          <w:tab w:val="left" w:pos="2609"/>
        </w:tabs>
        <w:ind w:left="709"/>
        <w:jc w:val="both"/>
        <w:rPr>
          <w:rFonts w:ascii="Book Antiqua" w:hAnsi="Book Antiqua" w:cs="Book Antiqua"/>
          <w:color w:val="000000"/>
        </w:rPr>
      </w:pPr>
      <w:r>
        <w:rPr>
          <w:rFonts w:ascii="Book Antiqua" w:hAnsi="Book Antiqua" w:cs="Book Antiqua"/>
          <w:color w:val="000000"/>
        </w:rPr>
        <w:t>Une demande d’ouverture de formation « en urgence » peut être introduite au comité de concertation pour l’enseignement secondaire du caractère dont relève l’établissement, via les organes de représentation et de coordination à tout moment de l’année.  Néanmoins, pour des raisons d’organisation pratique, les demandes d’ouverture d’une formation « en urgence » au 1</w:t>
      </w:r>
      <w:r>
        <w:rPr>
          <w:rFonts w:ascii="Book Antiqua" w:hAnsi="Book Antiqua" w:cs="Book Antiqua"/>
          <w:color w:val="000000"/>
          <w:vertAlign w:val="superscript"/>
        </w:rPr>
        <w:t>er</w:t>
      </w:r>
      <w:r>
        <w:rPr>
          <w:rFonts w:ascii="Book Antiqua" w:hAnsi="Book Antiqua" w:cs="Book Antiqua"/>
          <w:color w:val="000000"/>
        </w:rPr>
        <w:t xml:space="preserve"> septembre 2018 sont  adressées avant le 11 mai 2018 au comité de concertation pour l’enseignement secondaire du caractère dont relève l’établissement, via les organes de représentation et de coordination.  </w:t>
      </w:r>
    </w:p>
    <w:p>
      <w:pPr>
        <w:tabs>
          <w:tab w:val="left" w:pos="2609"/>
        </w:tabs>
        <w:ind w:left="709"/>
        <w:jc w:val="both"/>
        <w:rPr>
          <w:rFonts w:ascii="Book Antiqua" w:hAnsi="Book Antiqua" w:cs="Book Antiqua"/>
          <w:color w:val="000000"/>
        </w:rPr>
      </w:pPr>
    </w:p>
    <w:tbl>
      <w:tblPr>
        <w:tblW w:w="0" w:type="auto"/>
        <w:jc w:val="center"/>
        <w:tblLayout w:type="fixed"/>
        <w:tblLook w:val="0000" w:firstRow="0" w:lastRow="0" w:firstColumn="0" w:lastColumn="0" w:noHBand="0" w:noVBand="0"/>
      </w:tblPr>
      <w:tblGrid>
        <w:gridCol w:w="9250"/>
      </w:tblGrid>
      <w:tr>
        <w:trPr>
          <w:jc w:val="center"/>
        </w:trP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iCs/>
                <w:sz w:val="20"/>
                <w:u w:val="none"/>
              </w:rPr>
            </w:pPr>
            <w:r>
              <w:rPr>
                <w:rFonts w:ascii="Book Antiqua" w:hAnsi="Book Antiqua"/>
                <w:b w:val="0"/>
                <w:i/>
                <w:iCs/>
                <w:sz w:val="20"/>
                <w:u w:val="none"/>
              </w:rPr>
              <w:t>pour les établissements d’enseignement libre confessionnel, à</w:t>
            </w:r>
          </w:p>
          <w:p>
            <w:pPr>
              <w:pStyle w:val="Corpsdetexte31"/>
              <w:snapToGrid w:val="0"/>
              <w:rPr>
                <w:rFonts w:ascii="Book Antiqua" w:hAnsi="Book Antiqua"/>
                <w:i/>
                <w:iCs/>
                <w:sz w:val="20"/>
                <w:u w:val="none"/>
              </w:rPr>
            </w:pPr>
            <w:r>
              <w:rPr>
                <w:rFonts w:ascii="Book Antiqua" w:hAnsi="Book Antiqua"/>
                <w:i/>
                <w:iCs/>
                <w:sz w:val="20"/>
                <w:u w:val="none"/>
              </w:rPr>
              <w:t>Monsieur Eric DAUBIE</w:t>
            </w:r>
          </w:p>
          <w:p>
            <w:pPr>
              <w:pStyle w:val="Corpsdetexte31"/>
              <w:rPr>
                <w:rFonts w:ascii="Book Antiqua" w:hAnsi="Book Antiqua"/>
                <w:i/>
                <w:iCs/>
                <w:sz w:val="20"/>
                <w:u w:val="none"/>
              </w:rPr>
            </w:pPr>
            <w:r>
              <w:rPr>
                <w:rFonts w:ascii="Book Antiqua" w:hAnsi="Book Antiqua"/>
                <w:i/>
                <w:iCs/>
                <w:sz w:val="20"/>
                <w:u w:val="none"/>
              </w:rPr>
              <w:t>Fédération de l’Enseignement Secondaire Catholique (FESEC)</w:t>
            </w:r>
          </w:p>
          <w:p>
            <w:pPr>
              <w:pStyle w:val="Corpsdetexte31"/>
              <w:rPr>
                <w:rFonts w:ascii="Book Antiqua" w:hAnsi="Book Antiqua"/>
                <w:i/>
                <w:iCs/>
                <w:sz w:val="20"/>
                <w:u w:val="none"/>
              </w:rPr>
            </w:pPr>
            <w:r>
              <w:rPr>
                <w:rFonts w:ascii="Book Antiqua" w:hAnsi="Book Antiqua"/>
                <w:i/>
                <w:iCs/>
                <w:sz w:val="20"/>
                <w:u w:val="none"/>
              </w:rPr>
              <w:t>Avenue E. Mounier, 100</w:t>
            </w:r>
          </w:p>
          <w:p>
            <w:pPr>
              <w:pStyle w:val="Corpsdetexte31"/>
              <w:rPr>
                <w:rFonts w:ascii="Book Antiqua" w:hAnsi="Book Antiqua"/>
                <w:i/>
                <w:iCs/>
                <w:sz w:val="20"/>
                <w:u w:val="none"/>
              </w:rPr>
            </w:pPr>
            <w:r>
              <w:rPr>
                <w:rFonts w:ascii="Book Antiqua" w:hAnsi="Book Antiqua"/>
                <w:i/>
                <w:iCs/>
                <w:sz w:val="20"/>
                <w:u w:val="none"/>
              </w:rPr>
              <w:t>1200 BRUXELLES</w:t>
            </w:r>
          </w:p>
        </w:tc>
      </w:tr>
    </w:tbl>
    <w:p>
      <w:pPr>
        <w:pStyle w:val="Corpsdetexte31"/>
        <w:jc w:val="left"/>
      </w:pPr>
    </w:p>
    <w:tbl>
      <w:tblPr>
        <w:tblW w:w="0" w:type="auto"/>
        <w:jc w:val="center"/>
        <w:tblLayout w:type="fixed"/>
        <w:tblLook w:val="0000" w:firstRow="0" w:lastRow="0" w:firstColumn="0" w:lastColumn="0" w:noHBand="0" w:noVBand="0"/>
      </w:tblPr>
      <w:tblGrid>
        <w:gridCol w:w="9250"/>
      </w:tblGrid>
      <w:tr>
        <w:trPr>
          <w:jc w:val="center"/>
        </w:trP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sz w:val="20"/>
                <w:u w:val="none"/>
              </w:rPr>
            </w:pPr>
            <w:r>
              <w:rPr>
                <w:rFonts w:ascii="Book Antiqua" w:hAnsi="Book Antiqua"/>
                <w:b w:val="0"/>
                <w:i/>
                <w:sz w:val="20"/>
                <w:u w:val="none"/>
              </w:rPr>
              <w:t>pour les établissements d’enseignement organisé par la Fédération Wallonie-Bruxelles, à</w:t>
            </w:r>
          </w:p>
          <w:p>
            <w:pPr>
              <w:pStyle w:val="Corpsdetexte31"/>
              <w:snapToGrid w:val="0"/>
              <w:rPr>
                <w:rFonts w:ascii="Book Antiqua" w:hAnsi="Book Antiqua"/>
                <w:i/>
                <w:sz w:val="20"/>
                <w:u w:val="none"/>
              </w:rPr>
            </w:pPr>
            <w:r>
              <w:rPr>
                <w:rFonts w:ascii="Book Antiqua" w:hAnsi="Book Antiqua"/>
                <w:i/>
                <w:sz w:val="20"/>
                <w:u w:val="none"/>
              </w:rPr>
              <w:t>Monsieur Didier LETURCQ</w:t>
            </w:r>
          </w:p>
          <w:p>
            <w:pPr>
              <w:pStyle w:val="Corpsdetexte31"/>
              <w:rPr>
                <w:rFonts w:ascii="Book Antiqua" w:hAnsi="Book Antiqua"/>
                <w:i/>
                <w:sz w:val="20"/>
                <w:u w:val="none"/>
              </w:rPr>
            </w:pPr>
            <w:r>
              <w:rPr>
                <w:rFonts w:ascii="Book Antiqua" w:hAnsi="Book Antiqua"/>
                <w:i/>
                <w:sz w:val="20"/>
                <w:u w:val="none"/>
              </w:rPr>
              <w:t>Service général de l’Enseignement organisé par la Fédération Wallonie-Bruxelles</w:t>
            </w:r>
          </w:p>
          <w:p>
            <w:pPr>
              <w:pStyle w:val="Corpsdetexte31"/>
              <w:rPr>
                <w:rFonts w:ascii="Book Antiqua" w:hAnsi="Book Antiqua"/>
                <w:i/>
                <w:sz w:val="20"/>
                <w:u w:val="none"/>
              </w:rPr>
            </w:pPr>
            <w:r>
              <w:rPr>
                <w:rFonts w:ascii="Book Antiqua" w:hAnsi="Book Antiqua"/>
                <w:i/>
                <w:sz w:val="20"/>
                <w:u w:val="none"/>
              </w:rPr>
              <w:t>Boulevard du Jardin Botanique, 20-22</w:t>
            </w:r>
          </w:p>
          <w:p>
            <w:pPr>
              <w:pStyle w:val="Corpsdetexte31"/>
              <w:rPr>
                <w:rFonts w:ascii="Book Antiqua" w:hAnsi="Book Antiqua"/>
                <w:i/>
                <w:sz w:val="20"/>
                <w:u w:val="none"/>
              </w:rPr>
            </w:pPr>
            <w:r>
              <w:rPr>
                <w:rFonts w:ascii="Book Antiqua" w:hAnsi="Book Antiqua"/>
                <w:i/>
                <w:sz w:val="20"/>
                <w:u w:val="none"/>
              </w:rPr>
              <w:t>1000 BRUXELLES</w:t>
            </w:r>
          </w:p>
        </w:tc>
      </w:tr>
    </w:tbl>
    <w:p>
      <w:pPr>
        <w:pStyle w:val="Corpsdetexte31"/>
        <w:ind w:left="709"/>
      </w:pPr>
    </w:p>
    <w:tbl>
      <w:tblPr>
        <w:tblW w:w="0" w:type="auto"/>
        <w:jc w:val="center"/>
        <w:tblLayout w:type="fixed"/>
        <w:tblLook w:val="0000" w:firstRow="0" w:lastRow="0" w:firstColumn="0" w:lastColumn="0" w:noHBand="0" w:noVBand="0"/>
      </w:tblPr>
      <w:tblGrid>
        <w:gridCol w:w="9250"/>
      </w:tblGrid>
      <w:tr>
        <w:trPr>
          <w:jc w:val="center"/>
        </w:trP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iCs/>
                <w:sz w:val="20"/>
                <w:u w:val="none"/>
              </w:rPr>
            </w:pPr>
            <w:r>
              <w:rPr>
                <w:rFonts w:ascii="Book Antiqua" w:hAnsi="Book Antiqua"/>
                <w:b w:val="0"/>
                <w:i/>
                <w:iCs/>
                <w:sz w:val="20"/>
                <w:u w:val="none"/>
              </w:rPr>
              <w:t>pour les établissements d’enseignement officiel subventionné, à</w:t>
            </w:r>
          </w:p>
          <w:p>
            <w:pPr>
              <w:pStyle w:val="Corpsdetexte31"/>
              <w:snapToGrid w:val="0"/>
              <w:rPr>
                <w:rFonts w:ascii="Book Antiqua" w:hAnsi="Book Antiqua"/>
                <w:i/>
                <w:iCs/>
                <w:sz w:val="20"/>
                <w:u w:val="none"/>
              </w:rPr>
            </w:pPr>
            <w:r>
              <w:rPr>
                <w:rFonts w:ascii="Book Antiqua" w:hAnsi="Book Antiqua"/>
                <w:i/>
                <w:iCs/>
                <w:sz w:val="20"/>
                <w:u w:val="none"/>
              </w:rPr>
              <w:t>Monsieur Roberto GALLUCCIO</w:t>
            </w:r>
          </w:p>
          <w:p>
            <w:pPr>
              <w:pStyle w:val="Corpsdetexte31"/>
              <w:rPr>
                <w:rFonts w:ascii="Book Antiqua" w:hAnsi="Book Antiqua"/>
                <w:i/>
                <w:iCs/>
                <w:sz w:val="20"/>
                <w:u w:val="none"/>
              </w:rPr>
            </w:pPr>
            <w:r>
              <w:rPr>
                <w:rFonts w:ascii="Book Antiqua" w:hAnsi="Book Antiqua"/>
                <w:i/>
                <w:iCs/>
                <w:sz w:val="20"/>
                <w:u w:val="none"/>
              </w:rPr>
              <w:t xml:space="preserve">Conseil des Pouvoirs organisateurs de </w:t>
            </w:r>
            <w:r>
              <w:rPr>
                <w:rFonts w:ascii="Book Antiqua" w:hAnsi="Book Antiqua"/>
                <w:i/>
                <w:iCs/>
                <w:sz w:val="20"/>
                <w:u w:val="none"/>
              </w:rPr>
              <w:br/>
              <w:t>l'Enseignement Officiel Neutre Subventionné (CPEONS)</w:t>
            </w:r>
          </w:p>
          <w:p>
            <w:pPr>
              <w:pStyle w:val="Corpsdetexte31"/>
              <w:rPr>
                <w:rFonts w:ascii="Book Antiqua" w:hAnsi="Book Antiqua"/>
                <w:i/>
                <w:iCs/>
                <w:sz w:val="20"/>
                <w:u w:val="none"/>
              </w:rPr>
            </w:pPr>
            <w:r>
              <w:rPr>
                <w:rFonts w:ascii="Book Antiqua" w:hAnsi="Book Antiqua"/>
                <w:i/>
                <w:iCs/>
                <w:sz w:val="20"/>
                <w:u w:val="none"/>
              </w:rPr>
              <w:t>Rue des Minimes, 87-89</w:t>
            </w:r>
          </w:p>
          <w:p>
            <w:pPr>
              <w:pStyle w:val="Corpsdetexte31"/>
              <w:rPr>
                <w:rFonts w:ascii="Book Antiqua" w:hAnsi="Book Antiqua"/>
                <w:i/>
                <w:iCs/>
                <w:sz w:val="20"/>
                <w:u w:val="none"/>
              </w:rPr>
            </w:pPr>
            <w:r>
              <w:rPr>
                <w:rFonts w:ascii="Book Antiqua" w:hAnsi="Book Antiqua"/>
                <w:i/>
                <w:iCs/>
                <w:sz w:val="20"/>
                <w:u w:val="none"/>
              </w:rPr>
              <w:t>1000 BRUXELLES</w:t>
            </w:r>
          </w:p>
        </w:tc>
      </w:tr>
    </w:tbl>
    <w:p>
      <w:pPr>
        <w:pStyle w:val="Corpsdetexte31"/>
        <w:jc w:val="left"/>
      </w:pPr>
    </w:p>
    <w:p>
      <w:pPr>
        <w:widowControl w:val="0"/>
        <w:pBdr>
          <w:top w:val="single" w:sz="4" w:space="1" w:color="000000"/>
          <w:left w:val="single" w:sz="4" w:space="31" w:color="000000"/>
          <w:bottom w:val="single" w:sz="4" w:space="1" w:color="000000"/>
          <w:right w:val="single" w:sz="4" w:space="4" w:color="000000"/>
        </w:pBdr>
        <w:spacing w:after="120"/>
        <w:ind w:left="1418" w:right="991"/>
        <w:jc w:val="both"/>
        <w:rPr>
          <w:rFonts w:ascii="Book Antiqua" w:hAnsi="Book Antiqua" w:cs="Book Antiqua"/>
          <w:color w:val="000000"/>
        </w:rPr>
      </w:pPr>
      <w:r>
        <w:rPr>
          <w:rFonts w:ascii="Book Antiqua" w:hAnsi="Book Antiqua" w:cs="Book Antiqua"/>
          <w:color w:val="000000"/>
        </w:rPr>
        <w:t xml:space="preserve">N.B. : Tant que le profil de certification spécifique n’a pas fait l’objet d’un arrêté du Gouvernement de la Fédération Wallonie-Bruxelles, la formation considérée n’est pas encore une formation « article 45 » mais bien une formation organisée en urgence qui doit faire l’objet d’une réintroduction </w:t>
      </w:r>
      <w:r>
        <w:rPr>
          <w:rFonts w:ascii="Book Antiqua" w:hAnsi="Book Antiqua" w:cs="Book Antiqua"/>
          <w:b/>
          <w:bCs/>
          <w:color w:val="000000"/>
        </w:rPr>
        <w:t>annuelle</w:t>
      </w:r>
      <w:r>
        <w:rPr>
          <w:rFonts w:ascii="Book Antiqua" w:hAnsi="Book Antiqua" w:cs="Book Antiqua"/>
          <w:color w:val="000000"/>
        </w:rPr>
        <w:t xml:space="preserve"> de dossier.</w:t>
      </w:r>
    </w:p>
    <w:p>
      <w:pPr>
        <w:spacing w:before="120" w:after="120"/>
        <w:ind w:left="709"/>
        <w:jc w:val="both"/>
        <w:rPr>
          <w:rFonts w:ascii="Book Antiqua" w:hAnsi="Book Antiqua" w:cs="Book Antiqua"/>
          <w:color w:val="000000"/>
        </w:rPr>
      </w:pPr>
    </w:p>
    <w:p>
      <w:pPr>
        <w:spacing w:before="120" w:after="120"/>
        <w:ind w:left="709"/>
        <w:jc w:val="both"/>
        <w:rPr>
          <w:rFonts w:ascii="Book Antiqua" w:hAnsi="Book Antiqua" w:cs="Book Antiqua"/>
          <w:color w:val="000000"/>
        </w:rPr>
      </w:pPr>
      <w:r>
        <w:rPr>
          <w:rFonts w:ascii="Book Antiqua" w:hAnsi="Book Antiqua" w:cs="Book Antiqua"/>
          <w:color w:val="000000"/>
        </w:rPr>
        <w:t xml:space="preserve">Cette formation est sanctionnée par une attestation de compétences professionnelles. </w:t>
      </w:r>
    </w:p>
    <w:p>
      <w:pPr>
        <w:spacing w:before="120" w:after="120"/>
        <w:ind w:left="709"/>
        <w:jc w:val="both"/>
        <w:rPr>
          <w:rFonts w:ascii="Book Antiqua" w:hAnsi="Book Antiqua" w:cs="Book Antiqua"/>
          <w:color w:val="000000"/>
        </w:rPr>
      </w:pPr>
      <w:r>
        <w:rPr>
          <w:rFonts w:ascii="Book Antiqua" w:hAnsi="Book Antiqua" w:cs="Book Antiqua"/>
          <w:color w:val="000000"/>
        </w:rPr>
        <w:t>Si un profil de certification spécifique est défini par le Gouvernement, la formation considérée devient une formation « article 45 » et un certificat de qualification remplace l’attestation de compétences professionnelles du 2</w:t>
      </w:r>
      <w:r>
        <w:rPr>
          <w:rFonts w:ascii="Book Antiqua" w:hAnsi="Book Antiqua" w:cs="Book Antiqua"/>
          <w:color w:val="000000"/>
          <w:vertAlign w:val="superscript"/>
        </w:rPr>
        <w:t>ème</w:t>
      </w:r>
      <w:r>
        <w:rPr>
          <w:rFonts w:ascii="Book Antiqua" w:hAnsi="Book Antiqua" w:cs="Book Antiqua"/>
          <w:color w:val="000000"/>
        </w:rPr>
        <w:t xml:space="preserve"> degré de l’enseignement secondaire en alternance. </w:t>
      </w:r>
      <w:r>
        <w:rPr>
          <w:rStyle w:val="Caractresdenotedebasdepage"/>
          <w:rFonts w:ascii="Book Antiqua" w:hAnsi="Book Antiqua" w:cs="Book Antiqua"/>
          <w:color w:val="000000"/>
        </w:rPr>
        <w:footnoteReference w:id="32"/>
      </w:r>
    </w:p>
    <w:p>
      <w:pPr>
        <w:pStyle w:val="niveau4"/>
        <w:ind w:left="709"/>
        <w:rPr>
          <w:rFonts w:cs="Book Antiqua"/>
          <w:color w:val="000000"/>
          <w:spacing w:val="-2"/>
        </w:rPr>
      </w:pPr>
      <w:r>
        <w:br w:type="page"/>
      </w:r>
      <w:bookmarkStart w:id="30" w:name="_Toc522700756"/>
      <w:r>
        <w:lastRenderedPageBreak/>
        <w:t>5</w:t>
      </w:r>
      <w:r>
        <w:rPr>
          <w:sz w:val="22"/>
        </w:rPr>
        <w:t xml:space="preserve">. </w:t>
      </w:r>
      <w:r>
        <w:t>Organisation de modules de formation individualisés</w:t>
      </w:r>
      <w:r>
        <w:rPr>
          <w:sz w:val="22"/>
          <w:u w:val="none"/>
        </w:rPr>
        <w:t xml:space="preserve"> </w:t>
      </w:r>
      <w:r>
        <w:rPr>
          <w:rStyle w:val="Caractresdenotedebasdepage"/>
          <w:b/>
          <w:color w:val="000000"/>
          <w:spacing w:val="-2"/>
          <w:u w:val="none"/>
        </w:rPr>
        <w:footnoteReference w:id="33"/>
      </w:r>
      <w:bookmarkEnd w:id="30"/>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Pour des élèves soumis à l’obligation scolaire et pour les majeurs exclus en application de la procédure décrétale prévue, les formations « articles 45 et 49 » du décret « Missions » peuvent être précédées d’un module de formation individualisée.</w:t>
      </w:r>
    </w:p>
    <w:p>
      <w:pPr>
        <w:tabs>
          <w:tab w:val="left" w:pos="1260"/>
        </w:tabs>
        <w:spacing w:before="120" w:after="120"/>
        <w:ind w:left="1418"/>
        <w:jc w:val="both"/>
        <w:rPr>
          <w:rFonts w:ascii="Book Antiqua" w:hAnsi="Book Antiqua" w:cs="Book Antiqua"/>
          <w:color w:val="000000"/>
          <w:spacing w:val="-2"/>
        </w:rPr>
      </w:pPr>
      <w:r>
        <w:rPr>
          <w:rFonts w:ascii="Book Antiqua" w:hAnsi="Book Antiqua" w:cs="Book Antiqua"/>
          <w:color w:val="000000"/>
          <w:spacing w:val="-2"/>
        </w:rPr>
        <w:t>Ce dernier visera notamment à développer chez l’élève:</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l’élaboration du projet de vie,</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l’orientation vers un métier,</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l’éducation aux règles de vie en commun dans le CEFA et dans la société,</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la mise à niveau des connaissances élémentaires de base,</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l’acquisition de compétences minimales nécessaires pour accéder à la formation par le travail en entreprise.</w:t>
      </w:r>
    </w:p>
    <w:p>
      <w:pPr>
        <w:tabs>
          <w:tab w:val="left" w:pos="2417"/>
        </w:tabs>
        <w:spacing w:line="240" w:lineRule="atLeast"/>
        <w:jc w:val="both"/>
        <w:rPr>
          <w:rFonts w:ascii="Book Antiqua" w:hAnsi="Book Antiqua" w:cs="Book Antiqua"/>
          <w:color w:val="000000"/>
          <w:spacing w:val="-2"/>
        </w:rPr>
      </w:pPr>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Le module de formation individualisée peut comprendre des visites et des stages prévus à l’article 7 bis de la loi du 19 juillet 1971 relative à la structure générale et à l’organisation de l’enseignement secondaire (ou à l’article 2bis paragraphe 4 du décret du 3 juillet 1991 organisant l’enseignement secondaire en alternance).</w:t>
      </w:r>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 xml:space="preserve">Par « visites », il y a lieu d’entendre </w:t>
      </w:r>
      <w:r>
        <w:t xml:space="preserve">les </w:t>
      </w:r>
      <w:r>
        <w:rPr>
          <w:rFonts w:ascii="Book Antiqua" w:hAnsi="Book Antiqua" w:cs="Book Antiqua"/>
          <w:color w:val="000000"/>
          <w:spacing w:val="-2"/>
        </w:rPr>
        <w:t>périodes de contact et de découverte, individuels ou collectifs notamment des métiers, du milieu professionnel, des centres de compétence et de référence professionnelle, des centres de technologies avancées, d'autres écoles organisées dans le cadre du processus d'orientation des élèves aux 1er, 2e et 3e degrés de l'enseignement secondaire ordinaire de plein exercice.</w:t>
      </w:r>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Par « stages » il y a lieu d’entendre les périodes d'immersion en milieu professionnel, à titre individuel ou en très petits groupes de moins de 6 élèves, organisées principalement aux 2</w:t>
      </w:r>
      <w:r>
        <w:rPr>
          <w:rFonts w:ascii="Book Antiqua" w:hAnsi="Book Antiqua" w:cs="Book Antiqua"/>
          <w:color w:val="000000"/>
          <w:spacing w:val="-2"/>
          <w:vertAlign w:val="superscript"/>
        </w:rPr>
        <w:t>e</w:t>
      </w:r>
      <w:r>
        <w:rPr>
          <w:rFonts w:ascii="Book Antiqua" w:hAnsi="Book Antiqua" w:cs="Book Antiqua"/>
          <w:color w:val="000000"/>
          <w:spacing w:val="-2"/>
        </w:rPr>
        <w:t xml:space="preserve"> et 3e degrés de l'enseignement secondaire ordinaire de plein exercice.</w:t>
      </w:r>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Sur la base des décisions du Conseil de direction, le coordonnateur tient à disposition du vérificateur une liste reprenant les nom, prénom, n° de matricule et adresse des élèves qui suivent un module de formation individualisée, ainsi que la durée de ce module.</w:t>
      </w:r>
    </w:p>
    <w:p>
      <w:pPr>
        <w:spacing w:before="120" w:after="120"/>
        <w:ind w:left="1418"/>
        <w:jc w:val="both"/>
        <w:rPr>
          <w:rFonts w:ascii="Book Antiqua" w:hAnsi="Book Antiqua" w:cs="Book Antiqua"/>
          <w:color w:val="000000"/>
          <w:spacing w:val="-2"/>
        </w:rPr>
        <w:sectPr>
          <w:footerReference w:type="default" r:id="rId23"/>
          <w:type w:val="oddPage"/>
          <w:pgSz w:w="11906" w:h="16838" w:code="9"/>
          <w:pgMar w:top="907" w:right="1134" w:bottom="907" w:left="1134" w:header="851" w:footer="851" w:gutter="0"/>
          <w:cols w:space="720"/>
          <w:rtlGutter/>
          <w:docGrid w:linePitch="360"/>
        </w:sectPr>
      </w:pPr>
    </w:p>
    <w:p>
      <w:pPr>
        <w:pStyle w:val="niveau2"/>
        <w:ind w:left="1698"/>
        <w:rPr>
          <w:color w:val="000000"/>
        </w:rPr>
      </w:pPr>
      <w:bookmarkStart w:id="31" w:name="_Toc522700757"/>
      <w:r>
        <w:rPr>
          <w:color w:val="000000"/>
        </w:rPr>
        <w:lastRenderedPageBreak/>
        <w:t>CHAPITRE II : CONDITIONS D’ADMISSION</w:t>
      </w:r>
      <w:bookmarkEnd w:id="31"/>
    </w:p>
    <w:p>
      <w:pPr>
        <w:pStyle w:val="Textebrut1"/>
        <w:widowControl/>
        <w:spacing w:after="240"/>
        <w:ind w:left="709" w:firstLine="0"/>
        <w:rPr>
          <w:rFonts w:ascii="Book Antiqua" w:hAnsi="Book Antiqua" w:cs="Book Antiqua"/>
          <w:color w:val="000000"/>
          <w:lang w:val="fr-FR"/>
        </w:rPr>
      </w:pPr>
      <w:r>
        <w:rPr>
          <w:rFonts w:ascii="Book Antiqua" w:hAnsi="Book Antiqua" w:cs="Book Antiqua"/>
          <w:color w:val="000000"/>
          <w:lang w:val="fr-FR"/>
        </w:rPr>
        <w:t>Les élèves inscrits dans l'enseignement secondaire en alternance sont soumis à l'ensemble des dispositions du décret « Missions » en matière de fréquentation régulière et de procédure d'exclusion. Pour ce qui relève des inscriptions et conditions d’admission, le décret du 3 juillet 1991 précité s’applique.</w:t>
      </w:r>
    </w:p>
    <w:p>
      <w:pPr>
        <w:pStyle w:val="niveau3"/>
        <w:ind w:left="709"/>
        <w:rPr>
          <w:u w:val="single"/>
        </w:rPr>
      </w:pPr>
      <w:bookmarkStart w:id="32" w:name="_Toc522700758"/>
      <w:r>
        <w:t xml:space="preserve">I. </w:t>
      </w:r>
      <w:r>
        <w:rPr>
          <w:u w:val="single"/>
        </w:rPr>
        <w:t>Inscription</w:t>
      </w:r>
      <w:bookmarkEnd w:id="32"/>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L’inscription des élèves peut être reçue toute l’année</w:t>
      </w:r>
      <w:r>
        <w:rPr>
          <w:rStyle w:val="Caractresdenotedebasdepage"/>
          <w:rFonts w:ascii="Book Antiqua" w:hAnsi="Book Antiqua" w:cs="Book Antiqua"/>
          <w:color w:val="000000"/>
          <w:lang w:val="fr-FR"/>
        </w:rPr>
        <w:footnoteReference w:id="34"/>
      </w:r>
      <w:r>
        <w:rPr>
          <w:rFonts w:ascii="Book Antiqua" w:hAnsi="Book Antiqua" w:cs="Book Antiqua"/>
          <w:color w:val="000000"/>
          <w:lang w:val="fr-FR"/>
        </w:rPr>
        <w:t xml:space="preserve">.  </w:t>
      </w:r>
    </w:p>
    <w:p>
      <w:pPr>
        <w:pStyle w:val="Textebrut1"/>
        <w:widowControl/>
        <w:pBdr>
          <w:top w:val="single" w:sz="2" w:space="1" w:color="000000"/>
          <w:left w:val="single" w:sz="2" w:space="1" w:color="000000"/>
          <w:bottom w:val="single" w:sz="2" w:space="1" w:color="000000"/>
          <w:right w:val="single" w:sz="2" w:space="1" w:color="000000"/>
        </w:pBdr>
        <w:spacing w:before="120" w:after="120"/>
        <w:ind w:left="2127" w:firstLine="0"/>
        <w:rPr>
          <w:rFonts w:ascii="Book Antiqua" w:hAnsi="Book Antiqua" w:cs="Book Antiqua"/>
          <w:color w:val="000000"/>
          <w:lang w:val="fr-FR"/>
        </w:rPr>
      </w:pPr>
      <w:r>
        <w:rPr>
          <w:rFonts w:ascii="Book Antiqua" w:hAnsi="Book Antiqua" w:cs="Book Antiqua"/>
          <w:b/>
          <w:bCs/>
          <w:color w:val="000000"/>
          <w:u w:val="single"/>
          <w:lang w:val="fr-FR"/>
        </w:rPr>
        <w:t>NB : L’article 79</w:t>
      </w:r>
      <w:r>
        <w:rPr>
          <w:rFonts w:ascii="Book Antiqua" w:hAnsi="Book Antiqua" w:cs="Book Antiqua"/>
          <w:color w:val="000000"/>
          <w:lang w:val="fr-FR"/>
        </w:rPr>
        <w:t xml:space="preserve"> du décret </w:t>
      </w:r>
      <w:r>
        <w:rPr>
          <w:rFonts w:ascii="Book Antiqua" w:hAnsi="Book Antiqua" w:cs="Book Antiqua"/>
          <w:lang w:val="fr-FR"/>
        </w:rPr>
        <w:t xml:space="preserve">du 24 juillet 1997 définissant les missions prioritaires de l’enseignement fondamental et de l’enseignement secondaire et organisant les structures propres à les atteindre </w:t>
      </w:r>
      <w:r>
        <w:rPr>
          <w:rFonts w:ascii="Book Antiqua" w:hAnsi="Book Antiqua" w:cs="Book Antiqua"/>
          <w:b/>
          <w:bCs/>
          <w:u w:val="single"/>
          <w:lang w:val="fr-FR"/>
        </w:rPr>
        <w:t>ne s’applique donc pas à l’enseignement en alternance.</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Néanmoins, dans le cadre du respect de la loi relative à l’obligation scolaire</w:t>
      </w:r>
      <w:r>
        <w:rPr>
          <w:rStyle w:val="Caractresdenotedebasdepage"/>
          <w:rFonts w:ascii="Book Antiqua" w:hAnsi="Book Antiqua" w:cs="Book Antiqua"/>
          <w:color w:val="000000"/>
          <w:lang w:val="fr-FR"/>
        </w:rPr>
        <w:footnoteReference w:id="35"/>
      </w:r>
      <w:r>
        <w:rPr>
          <w:rFonts w:ascii="Book Antiqua" w:hAnsi="Book Antiqua" w:cs="Book Antiqua"/>
          <w:color w:val="000000"/>
          <w:lang w:val="fr-FR"/>
        </w:rPr>
        <w:t>, l’établissement est tenu d’informer l’Administration sur le contexte du non-respect des dispositions de cette loi.</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 xml:space="preserve">En cas d’arrivée tardive, en vue de garantir la sanction des études, dans le cadre d’une </w:t>
      </w:r>
      <w:r>
        <w:rPr>
          <w:rFonts w:ascii="Book Antiqua" w:hAnsi="Book Antiqua" w:cs="Book Antiqua"/>
          <w:b/>
          <w:bCs/>
          <w:color w:val="000000"/>
          <w:u w:val="single"/>
          <w:lang w:val="fr-FR"/>
        </w:rPr>
        <w:t xml:space="preserve">formation « article 49 » ou « article 45 » organisée sur la base du calendrier scolaire </w:t>
      </w:r>
      <w:r>
        <w:rPr>
          <w:rFonts w:ascii="Book Antiqua" w:hAnsi="Book Antiqua" w:cs="Book Antiqua"/>
          <w:color w:val="000000"/>
          <w:lang w:val="fr-FR"/>
        </w:rPr>
        <w:t>(01.09 – 30.06), la partie d’année scolaire non effectivement suivie doit faire l’objet d’une dérogation telle que prévue à l’article 56, 2° de l’arrêté royal du 29 juin 1984 relatif à l’organisation de l’enseignement secondaire.</w:t>
      </w:r>
    </w:p>
    <w:p>
      <w:pPr>
        <w:spacing w:before="120" w:after="120"/>
        <w:ind w:left="1418"/>
        <w:jc w:val="both"/>
        <w:rPr>
          <w:rFonts w:ascii="Book Antiqua" w:hAnsi="Book Antiqua" w:cs="Book Antiqua"/>
          <w:b/>
          <w:bCs/>
          <w:szCs w:val="23"/>
        </w:rPr>
      </w:pPr>
      <w:r>
        <w:rPr>
          <w:rFonts w:ascii="Book Antiqua" w:hAnsi="Book Antiqua" w:cs="Book Antiqua"/>
          <w:b/>
          <w:bCs/>
          <w:szCs w:val="23"/>
        </w:rPr>
        <w:t xml:space="preserve">Cette dérogation sera introduite via le formulaire électronique accessible à l’adresse suivante : </w:t>
      </w:r>
    </w:p>
    <w:p>
      <w:pPr>
        <w:spacing w:before="120" w:after="120"/>
        <w:ind w:left="1418"/>
        <w:jc w:val="both"/>
        <w:rPr>
          <w:rFonts w:ascii="Book Antiqua" w:hAnsi="Book Antiqua" w:cs="Book Antiqua"/>
          <w:b/>
          <w:bCs/>
        </w:rPr>
      </w:pPr>
      <w:r>
        <w:rPr>
          <w:rFonts w:ascii="Book Antiqua" w:hAnsi="Book Antiqua"/>
          <w:u w:val="single"/>
        </w:rPr>
        <w:t xml:space="preserve">https://www.enseignement.cfwb.be/DEROGATION_WEB/sanctions_etudes </w:t>
      </w:r>
    </w:p>
    <w:p>
      <w:pPr>
        <w:pStyle w:val="Textebrut1"/>
        <w:widowControl/>
        <w:spacing w:before="120" w:after="120"/>
        <w:ind w:left="1418" w:firstLine="0"/>
        <w:rPr>
          <w:rFonts w:ascii="Book Antiqua" w:hAnsi="Book Antiqua" w:cs="Book Antiqua"/>
          <w:color w:val="000000"/>
          <w:spacing w:val="-2"/>
          <w:lang w:val="fr-FR"/>
        </w:rPr>
      </w:pPr>
      <w:r>
        <w:rPr>
          <w:rFonts w:ascii="Book Antiqua" w:hAnsi="Book Antiqua" w:cs="Book Antiqua"/>
          <w:color w:val="000000"/>
          <w:lang w:val="fr-FR"/>
        </w:rPr>
        <w:t>De plus, l’inscription d’un élève majeur qui n’a pas terminé soit une troisième année d’études de l’enseignement de qualification, soit une sixième année d’études de l’enseignement de transition ne peut être refusée, dans la mesure où les conditions d’admission dans chacune des années d’études ont été respectées.</w:t>
      </w:r>
      <w:r>
        <w:rPr>
          <w:rStyle w:val="Caractresdenotedebasdepage"/>
          <w:rFonts w:ascii="Book Antiqua" w:hAnsi="Book Antiqua" w:cs="Book Antiqua"/>
          <w:color w:val="000000"/>
          <w:lang w:val="fr-FR"/>
        </w:rPr>
        <w:footnoteReference w:id="36"/>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spacing w:val="-2"/>
          <w:lang w:val="fr-FR"/>
        </w:rPr>
        <w:t>Pour des élèves soumis à l’obligation scolaire et pour les élèves majeurs exclus en application de la procédure décrétale prévue</w:t>
      </w:r>
      <w:r>
        <w:rPr>
          <w:rFonts w:ascii="Book Antiqua" w:hAnsi="Book Antiqua" w:cs="Book Antiqua"/>
          <w:color w:val="000000"/>
          <w:lang w:val="fr-FR"/>
        </w:rPr>
        <w:t>, la formation peut être précédée d’un module de formation individualisé qui comprend, notamment, l’élaboration du projet de vie, l’orientation vers un métier, l’éducation aux règles de vie en commun dans le Centre et dans la société, la mise à niveau des connaissances élémentaires de base, l’acquisition de compétences minimales nécessaires pour accéder à la formation par le travail en entreprise.</w:t>
      </w:r>
      <w:r>
        <w:rPr>
          <w:rStyle w:val="Caractresdenotedebasdepage"/>
          <w:rFonts w:ascii="Book Antiqua" w:hAnsi="Book Antiqua" w:cs="Book Antiqua"/>
          <w:color w:val="000000"/>
          <w:lang w:val="fr-FR"/>
        </w:rPr>
        <w:footnoteReference w:id="37"/>
      </w:r>
      <w:r>
        <w:rPr>
          <w:rFonts w:ascii="Book Antiqua" w:hAnsi="Book Antiqua" w:cs="Book Antiqua"/>
          <w:color w:val="000000"/>
          <w:lang w:val="fr-FR"/>
        </w:rPr>
        <w:t xml:space="preserve"> </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Le Conseil de direction détermine pour chaque cas la durée du module de formation individualisé et les moyens disponibles à y consacrer. Dans ce cadre, il peut éventuellement demander la collaboration des services de l’Aide à la jeunesse ou des organismes reconnus pas le Ministre compétent pour l’Aide à la jeunesse ou par le Ministre compétent pour l’enseignement secondaire. Les modalités de cette collaboration devront être établies conjointement par les Ministres concernés.</w:t>
      </w:r>
      <w:r>
        <w:rPr>
          <w:rStyle w:val="Caractresdenotedebasdepage"/>
          <w:rFonts w:ascii="Book Antiqua" w:hAnsi="Book Antiqua" w:cs="Book Antiqua"/>
          <w:color w:val="000000"/>
          <w:lang w:val="fr-FR"/>
        </w:rPr>
        <w:footnoteReference w:id="38"/>
      </w:r>
      <w:r>
        <w:rPr>
          <w:rFonts w:ascii="Book Antiqua" w:hAnsi="Book Antiqua" w:cs="Book Antiqua"/>
          <w:color w:val="000000"/>
          <w:lang w:val="fr-FR"/>
        </w:rPr>
        <w:t xml:space="preserve">  A l’issue de ce module, les conditions d’admission dans une formation article « 45 » ou une formation article « 49 », développées au point II, sont d’application.</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lastRenderedPageBreak/>
        <w:t>Les CEFA </w:t>
      </w:r>
      <w:r>
        <w:rPr>
          <w:rStyle w:val="Caractresdenotedebasdepage"/>
          <w:rFonts w:ascii="Book Antiqua" w:hAnsi="Book Antiqua" w:cs="Book Antiqua"/>
          <w:color w:val="000000"/>
          <w:lang w:val="fr-FR"/>
        </w:rPr>
        <w:footnoteReference w:id="39"/>
      </w:r>
      <w:r>
        <w:rPr>
          <w:rFonts w:ascii="Book Antiqua" w:hAnsi="Book Antiqua" w:cs="Book Antiqua"/>
          <w:color w:val="000000"/>
          <w:lang w:val="fr-FR"/>
        </w:rPr>
        <w:t>:</w:t>
      </w:r>
    </w:p>
    <w:p>
      <w:pPr>
        <w:pStyle w:val="Textebrut1"/>
        <w:widowControl/>
        <w:numPr>
          <w:ilvl w:val="0"/>
          <w:numId w:val="40"/>
        </w:numPr>
        <w:tabs>
          <w:tab w:val="clear" w:pos="1428"/>
          <w:tab w:val="left" w:pos="993"/>
          <w:tab w:val="num" w:pos="2137"/>
          <w:tab w:val="left" w:pos="2982"/>
          <w:tab w:val="left" w:pos="3269"/>
        </w:tabs>
        <w:ind w:left="3126"/>
        <w:rPr>
          <w:rFonts w:ascii="Book Antiqua" w:hAnsi="Book Antiqua" w:cs="Book Antiqua"/>
          <w:color w:val="000000"/>
          <w:lang w:val="fr-FR"/>
        </w:rPr>
      </w:pPr>
      <w:r>
        <w:rPr>
          <w:rFonts w:ascii="Book Antiqua" w:hAnsi="Book Antiqua" w:cs="Book Antiqua"/>
          <w:color w:val="000000"/>
          <w:lang w:val="fr-FR"/>
        </w:rPr>
        <w:t>reçoivent l'inscription des élèves, sauf pour les élèves de l’enseignement spécialisé qui restent inscrits dans l’établissement d’enseignement secondaire spécialisé;</w:t>
      </w:r>
    </w:p>
    <w:p>
      <w:pPr>
        <w:pStyle w:val="Textebrut1"/>
        <w:widowControl/>
        <w:numPr>
          <w:ilvl w:val="0"/>
          <w:numId w:val="40"/>
        </w:numPr>
        <w:tabs>
          <w:tab w:val="clear" w:pos="1428"/>
          <w:tab w:val="left" w:pos="993"/>
          <w:tab w:val="num" w:pos="2137"/>
          <w:tab w:val="left" w:pos="2985"/>
        </w:tabs>
        <w:ind w:left="3126"/>
        <w:rPr>
          <w:rStyle w:val="Caractresdenotedebasdepage"/>
          <w:rFonts w:ascii="Book Antiqua" w:hAnsi="Book Antiqua" w:cs="Book Antiqua"/>
          <w:color w:val="000000"/>
          <w:lang w:val="fr-FR"/>
        </w:rPr>
      </w:pPr>
      <w:r>
        <w:rPr>
          <w:rFonts w:ascii="Book Antiqua" w:hAnsi="Book Antiqua" w:cs="Book Antiqua"/>
          <w:color w:val="000000"/>
          <w:lang w:val="fr-FR"/>
        </w:rPr>
        <w:t>organisent, sous la responsabilité du coordonnateur, l'accueil, l'encadrement et l'accompagnement des élèves en vue de définir un parcours individualisé d'insertion socio-professionnelle.</w:t>
      </w:r>
      <w:r>
        <w:rPr>
          <w:rStyle w:val="Caractresdenotedebasdepage"/>
          <w:rFonts w:ascii="Book Antiqua" w:hAnsi="Book Antiqua" w:cs="Book Antiqua"/>
          <w:color w:val="000000"/>
          <w:lang w:val="fr-FR"/>
        </w:rPr>
        <w:t xml:space="preserve"> </w:t>
      </w:r>
    </w:p>
    <w:p>
      <w:pPr>
        <w:pStyle w:val="Textebrut1"/>
        <w:widowControl/>
        <w:tabs>
          <w:tab w:val="left" w:pos="993"/>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 xml:space="preserve">Les CEFA assurent, avec les établissements coopérants, la formation des élèves et l'articulation de celle-ci avec la formation par le travail en entreprise.  Des documents décrivant les tâches exécutées dans le cadre des activités en entreprise attestent que celles-ci sont en concordance avec les objectifs de formation.  Ces objectifs sont consignés dans un plan de formation individualisé signé par le coordonnateur, le responsable désigné par l’entreprise et l’élève, s’il est majeur, ses parents ou la personne investie de l’autorité parentale, s’il est mineur. </w:t>
      </w:r>
      <w:r>
        <w:rPr>
          <w:rStyle w:val="Caractresdenotedebasdepage"/>
          <w:rFonts w:ascii="Book Antiqua" w:hAnsi="Book Antiqua" w:cs="Book Antiqua"/>
          <w:color w:val="000000"/>
          <w:lang w:val="fr-FR"/>
        </w:rPr>
        <w:footnoteReference w:id="40"/>
      </w:r>
      <w:r>
        <w:rPr>
          <w:rFonts w:ascii="Book Antiqua" w:hAnsi="Book Antiqua" w:cs="Book Antiqua"/>
          <w:color w:val="000000"/>
          <w:lang w:val="fr-FR"/>
        </w:rPr>
        <w:t xml:space="preserve"> </w:t>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L’inscription, l’exclusion et  l’établissement des documents relatifs à la sanction des études d’un élève relèvent de la responsabilité du chef d’établissement où l’élève suit la majorité de sa formation professionnelle. Celui-ci exerce dans ce cadre les prérogatives du chef d’établissement et/ou du pouvoir organisateur.</w:t>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L’établissement où l’élève suit la majorité de sa formation professionnelle gère ainsi son dossier disciplinaire et pédagogique.</w:t>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Les prérogatives du conseil de classe sont, elles, exercées par le conseil de classe du CEFA.</w:t>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Par contre, l’établissement-siège du CEFA gère et centralise les dossiers administratifs des élèves. Il organise, sous la responsabilité du coordonnateur, l’accueil, l’encadrement et l’accompagnement des élèves, en vue de définir un parcours individualisé d’insertion socioprofessionnelle. Administrativement, ces élèves sont inscrits sous le numéro de matricule du CEFA, à l’exception de ceux inscrits dans un établissement de l’enseignement spécialisé coopérant.</w:t>
      </w:r>
    </w:p>
    <w:p>
      <w:pPr>
        <w:pStyle w:val="Corpsdetexte"/>
        <w:ind w:left="709" w:firstLine="709"/>
        <w:rPr>
          <w:rFonts w:ascii="Book Antiqua" w:hAnsi="Book Antiqua" w:cs="Book Antiqua"/>
          <w:color w:val="000000"/>
        </w:rPr>
      </w:pPr>
      <w:r>
        <w:rPr>
          <w:rStyle w:val="niveau4Car"/>
          <w:sz w:val="22"/>
          <w:szCs w:val="22"/>
        </w:rPr>
        <w:sym w:font="Wingdings" w:char="F046"/>
      </w:r>
      <w:r>
        <w:rPr>
          <w:rStyle w:val="niveau4Car"/>
          <w:sz w:val="22"/>
        </w:rPr>
        <w:t xml:space="preserve">  Interdiction d’inscription</w:t>
      </w:r>
      <w:r>
        <w:rPr>
          <w:rStyle w:val="niveau4Car"/>
          <w:sz w:val="22"/>
          <w:vertAlign w:val="superscript"/>
        </w:rPr>
        <w:footnoteReference w:id="41"/>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Les élèves ne peuvent être inscrits dans des formations qui conduisent à la délivrance de titres identiques ou équivalents à ceux dont ils sont déjà porteurs dans les mêmes orientations d’études de l’enseignement secondaire de plein exercice, de l’enseignement secondaire en alternance, de l’enseignement de promotion sociale ou de l’enseignement spécialisé.</w:t>
      </w:r>
    </w:p>
    <w:p>
      <w:pPr>
        <w:pStyle w:val="niveau3"/>
        <w:pageBreakBefore/>
        <w:ind w:left="709"/>
      </w:pPr>
      <w:bookmarkStart w:id="33" w:name="_Toc522700759"/>
      <w:r>
        <w:lastRenderedPageBreak/>
        <w:t xml:space="preserve">II. </w:t>
      </w:r>
      <w:r>
        <w:rPr>
          <w:u w:val="single"/>
        </w:rPr>
        <w:t>conditions d’admission</w:t>
      </w:r>
      <w:bookmarkEnd w:id="33"/>
    </w:p>
    <w:p>
      <w:pPr>
        <w:pStyle w:val="Titre4"/>
        <w:ind w:left="993" w:hanging="284"/>
        <w:rPr>
          <w:rStyle w:val="niveau4Car"/>
          <w:rFonts w:cs="Times New Roman"/>
          <w:sz w:val="24"/>
          <w:lang w:val="fr-FR"/>
        </w:rPr>
      </w:pPr>
      <w:r>
        <w:rPr>
          <w:rStyle w:val="niveau4Car"/>
          <w:rFonts w:cs="Times New Roman"/>
          <w:sz w:val="24"/>
          <w:lang w:val="fr-FR"/>
        </w:rPr>
        <w:t xml:space="preserve">1. Formations relevant de l’article « 45 », formation « en urgence » et en « module de formation individualisée » </w:t>
      </w:r>
    </w:p>
    <w:p>
      <w:pPr>
        <w:tabs>
          <w:tab w:val="left" w:pos="-1440"/>
          <w:tab w:val="left" w:pos="-720"/>
          <w:tab w:val="left" w:pos="4820"/>
        </w:tabs>
        <w:spacing w:after="120"/>
        <w:ind w:left="709" w:hanging="5"/>
        <w:jc w:val="both"/>
        <w:rPr>
          <w:rFonts w:ascii="Book Antiqua" w:hAnsi="Book Antiqua" w:cs="Book Antiqua"/>
          <w:color w:val="000000"/>
          <w:spacing w:val="-4"/>
        </w:rPr>
      </w:pPr>
      <w:r>
        <w:rPr>
          <w:rFonts w:ascii="Book Antiqua" w:hAnsi="Book Antiqua" w:cs="Book Antiqua"/>
          <w:color w:val="000000"/>
          <w:spacing w:val="-4"/>
        </w:rPr>
        <w:t xml:space="preserve">Peuvent être inscrits dans l’enseignement secondaire en alternance : </w:t>
      </w:r>
    </w:p>
    <w:p>
      <w:pPr>
        <w:tabs>
          <w:tab w:val="left" w:pos="-1440"/>
          <w:tab w:val="left" w:pos="-720"/>
          <w:tab w:val="left" w:pos="4820"/>
        </w:tabs>
        <w:spacing w:after="120"/>
        <w:ind w:left="1134" w:hanging="357"/>
        <w:jc w:val="both"/>
        <w:rPr>
          <w:rFonts w:ascii="Book Antiqua" w:hAnsi="Book Antiqua" w:cs="Book Antiqua"/>
          <w:color w:val="000000"/>
          <w:spacing w:val="-4"/>
        </w:rPr>
      </w:pPr>
      <w:r>
        <w:rPr>
          <w:rFonts w:ascii="Book Antiqua" w:hAnsi="Book Antiqua" w:cs="Book Antiqua"/>
          <w:color w:val="000000"/>
          <w:spacing w:val="-4"/>
        </w:rPr>
        <w:t xml:space="preserve">- </w:t>
      </w:r>
      <w:r>
        <w:rPr>
          <w:rFonts w:ascii="Book Antiqua" w:hAnsi="Book Antiqua" w:cs="Book Antiqua"/>
          <w:b/>
          <w:bCs/>
          <w:color w:val="000000"/>
          <w:spacing w:val="-4"/>
          <w:u w:val="single"/>
        </w:rPr>
        <w:t>en formation article « 45 » au 2</w:t>
      </w:r>
      <w:r>
        <w:rPr>
          <w:rFonts w:ascii="Book Antiqua" w:hAnsi="Book Antiqua" w:cs="Book Antiqua"/>
          <w:b/>
          <w:bCs/>
          <w:color w:val="000000"/>
          <w:spacing w:val="-4"/>
          <w:u w:val="single"/>
          <w:vertAlign w:val="superscript"/>
        </w:rPr>
        <w:t>ème</w:t>
      </w:r>
      <w:r>
        <w:rPr>
          <w:rFonts w:ascii="Book Antiqua" w:hAnsi="Book Antiqua" w:cs="Book Antiqua"/>
          <w:b/>
          <w:bCs/>
          <w:color w:val="000000"/>
          <w:spacing w:val="-4"/>
          <w:u w:val="single"/>
        </w:rPr>
        <w:t xml:space="preserve"> degré de l’enseignement secondaire professionnel, en formation « en urgence »</w:t>
      </w:r>
      <w:r>
        <w:rPr>
          <w:rFonts w:ascii="Book Antiqua" w:hAnsi="Book Antiqua" w:cs="Book Antiqua"/>
          <w:color w:val="000000"/>
          <w:spacing w:val="-4"/>
          <w:u w:val="single"/>
        </w:rPr>
        <w:t xml:space="preserve"> </w:t>
      </w:r>
      <w:r>
        <w:rPr>
          <w:rFonts w:ascii="Book Antiqua" w:hAnsi="Book Antiqua" w:cs="Book Antiqua"/>
          <w:b/>
          <w:bCs/>
          <w:color w:val="000000"/>
          <w:spacing w:val="-4"/>
          <w:u w:val="single"/>
        </w:rPr>
        <w:t>et en « module de formation individualisé »</w:t>
      </w:r>
      <w:r>
        <w:rPr>
          <w:rFonts w:ascii="Book Antiqua" w:hAnsi="Book Antiqua" w:cs="Book Antiqua"/>
          <w:color w:val="000000"/>
          <w:spacing w:val="-4"/>
        </w:rPr>
        <w:t>:</w:t>
      </w:r>
    </w:p>
    <w:p>
      <w:pPr>
        <w:numPr>
          <w:ilvl w:val="0"/>
          <w:numId w:val="7"/>
        </w:numPr>
        <w:tabs>
          <w:tab w:val="clear" w:pos="1783"/>
          <w:tab w:val="left" w:pos="-720"/>
          <w:tab w:val="left" w:pos="4820"/>
        </w:tabs>
        <w:spacing w:after="60"/>
        <w:ind w:left="1560" w:hanging="284"/>
        <w:jc w:val="both"/>
        <w:rPr>
          <w:rFonts w:ascii="Book Antiqua" w:hAnsi="Book Antiqua" w:cs="Book Antiqua"/>
          <w:color w:val="000000"/>
          <w:spacing w:val="-4"/>
        </w:rPr>
      </w:pPr>
      <w:r>
        <w:rPr>
          <w:rFonts w:ascii="Book Antiqua" w:hAnsi="Book Antiqua" w:cs="Book Antiqua"/>
          <w:color w:val="000000"/>
          <w:spacing w:val="-4"/>
        </w:rPr>
        <w:t>les élèves mineurs âgés, au moment de l’inscription :</w:t>
      </w:r>
    </w:p>
    <w:p>
      <w:pPr>
        <w:numPr>
          <w:ilvl w:val="0"/>
          <w:numId w:val="26"/>
        </w:numPr>
        <w:tabs>
          <w:tab w:val="clear" w:pos="360"/>
          <w:tab w:val="left" w:pos="-1440"/>
          <w:tab w:val="left" w:pos="-720"/>
          <w:tab w:val="num" w:pos="1069"/>
          <w:tab w:val="left" w:pos="4820"/>
        </w:tabs>
        <w:ind w:left="1985" w:hanging="426"/>
        <w:jc w:val="both"/>
        <w:rPr>
          <w:rFonts w:ascii="Book Antiqua" w:hAnsi="Book Antiqua" w:cs="Book Antiqua"/>
          <w:color w:val="000000"/>
          <w:spacing w:val="-4"/>
        </w:rPr>
      </w:pPr>
      <w:r>
        <w:rPr>
          <w:rFonts w:ascii="Book Antiqua" w:hAnsi="Book Antiqua" w:cs="Book Antiqua"/>
          <w:color w:val="000000"/>
          <w:spacing w:val="-4"/>
        </w:rPr>
        <w:t>de 15 ans accomplis s’ils ont suivi au moins les 2 premières années d’enseignement secondaire de plein exercice</w:t>
      </w:r>
      <w:r>
        <w:rPr>
          <w:rStyle w:val="Caractresdenotedebasdepage"/>
          <w:rFonts w:ascii="Book Antiqua" w:hAnsi="Book Antiqua" w:cs="Book Antiqua"/>
          <w:color w:val="000000"/>
          <w:spacing w:val="-4"/>
        </w:rPr>
        <w:footnoteReference w:id="42"/>
      </w:r>
      <w:r>
        <w:rPr>
          <w:rFonts w:ascii="Book Antiqua" w:hAnsi="Book Antiqua" w:cs="Book Antiqua"/>
          <w:color w:val="000000"/>
          <w:spacing w:val="-4"/>
        </w:rPr>
        <w:t> ; on entend par 2 premières années :</w:t>
      </w:r>
    </w:p>
    <w:p>
      <w:pPr>
        <w:numPr>
          <w:ilvl w:val="0"/>
          <w:numId w:val="12"/>
        </w:numPr>
        <w:tabs>
          <w:tab w:val="clear" w:pos="205"/>
          <w:tab w:val="left" w:pos="-1440"/>
          <w:tab w:val="left" w:pos="-720"/>
          <w:tab w:val="num" w:pos="914"/>
          <w:tab w:val="left" w:pos="1277"/>
          <w:tab w:val="left" w:pos="1418"/>
          <w:tab w:val="left" w:pos="1843"/>
          <w:tab w:val="left" w:pos="2694"/>
        </w:tabs>
        <w:ind w:left="1418" w:firstLine="2347"/>
        <w:jc w:val="both"/>
        <w:rPr>
          <w:rFonts w:ascii="Book Antiqua" w:hAnsi="Book Antiqua" w:cs="Book Antiqua"/>
          <w:color w:val="000000"/>
          <w:spacing w:val="-4"/>
        </w:rPr>
      </w:pPr>
      <w:r>
        <w:rPr>
          <w:rFonts w:ascii="Book Antiqua" w:hAnsi="Book Antiqua" w:cs="Book Antiqua"/>
          <w:color w:val="000000"/>
          <w:spacing w:val="-4"/>
        </w:rPr>
        <w:t>soit la 1</w:t>
      </w:r>
      <w:r>
        <w:rPr>
          <w:rFonts w:ascii="Book Antiqua" w:hAnsi="Book Antiqua" w:cs="Book Antiqua"/>
          <w:color w:val="000000"/>
          <w:spacing w:val="-4"/>
          <w:vertAlign w:val="superscript"/>
        </w:rPr>
        <w:t>ère</w:t>
      </w:r>
      <w:r>
        <w:rPr>
          <w:rFonts w:ascii="Book Antiqua" w:hAnsi="Book Antiqua" w:cs="Book Antiqua"/>
          <w:color w:val="000000"/>
          <w:spacing w:val="-4"/>
        </w:rPr>
        <w:t xml:space="preserve"> année C et la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C ;</w:t>
      </w:r>
    </w:p>
    <w:p>
      <w:pPr>
        <w:numPr>
          <w:ilvl w:val="0"/>
          <w:numId w:val="12"/>
        </w:numPr>
        <w:tabs>
          <w:tab w:val="clear" w:pos="205"/>
          <w:tab w:val="left" w:pos="-1440"/>
          <w:tab w:val="left" w:pos="-720"/>
          <w:tab w:val="num" w:pos="914"/>
          <w:tab w:val="left" w:pos="1277"/>
          <w:tab w:val="left" w:pos="1418"/>
          <w:tab w:val="left" w:pos="1843"/>
          <w:tab w:val="left" w:pos="2694"/>
        </w:tabs>
        <w:ind w:left="1418" w:firstLine="2347"/>
        <w:jc w:val="both"/>
        <w:rPr>
          <w:rFonts w:ascii="Book Antiqua" w:hAnsi="Book Antiqua" w:cs="Book Antiqua"/>
          <w:color w:val="000000"/>
          <w:spacing w:val="-4"/>
        </w:rPr>
      </w:pPr>
      <w:r>
        <w:rPr>
          <w:rFonts w:ascii="Book Antiqua" w:hAnsi="Book Antiqua" w:cs="Book Antiqua"/>
          <w:color w:val="000000"/>
          <w:spacing w:val="-4"/>
        </w:rPr>
        <w:t xml:space="preserve"> soit la 1</w:t>
      </w:r>
      <w:r>
        <w:rPr>
          <w:rFonts w:ascii="Book Antiqua" w:hAnsi="Book Antiqua" w:cs="Book Antiqua"/>
          <w:color w:val="000000"/>
          <w:spacing w:val="-4"/>
          <w:vertAlign w:val="superscript"/>
        </w:rPr>
        <w:t>ère</w:t>
      </w:r>
      <w:r>
        <w:rPr>
          <w:rFonts w:ascii="Book Antiqua" w:hAnsi="Book Antiqua" w:cs="Book Antiqua"/>
          <w:color w:val="000000"/>
          <w:spacing w:val="-4"/>
        </w:rPr>
        <w:t xml:space="preserve"> année D et la 1</w:t>
      </w:r>
      <w:r>
        <w:rPr>
          <w:rFonts w:ascii="Book Antiqua" w:hAnsi="Book Antiqua" w:cs="Book Antiqua"/>
          <w:color w:val="000000"/>
          <w:spacing w:val="-4"/>
          <w:vertAlign w:val="superscript"/>
        </w:rPr>
        <w:t>ère</w:t>
      </w:r>
      <w:r>
        <w:rPr>
          <w:rFonts w:ascii="Book Antiqua" w:hAnsi="Book Antiqua" w:cs="Book Antiqua"/>
          <w:color w:val="000000"/>
          <w:spacing w:val="-4"/>
        </w:rPr>
        <w:t xml:space="preserve"> année C ;</w:t>
      </w:r>
    </w:p>
    <w:p>
      <w:pPr>
        <w:numPr>
          <w:ilvl w:val="0"/>
          <w:numId w:val="12"/>
        </w:numPr>
        <w:tabs>
          <w:tab w:val="clear" w:pos="205"/>
          <w:tab w:val="left" w:pos="-1440"/>
          <w:tab w:val="left" w:pos="-720"/>
          <w:tab w:val="num" w:pos="914"/>
          <w:tab w:val="left" w:pos="1214"/>
          <w:tab w:val="left" w:pos="1843"/>
          <w:tab w:val="left" w:pos="2694"/>
        </w:tabs>
        <w:ind w:left="1633" w:firstLine="2132"/>
        <w:jc w:val="both"/>
        <w:rPr>
          <w:rFonts w:ascii="Book Antiqua" w:hAnsi="Book Antiqua" w:cs="Book Antiqua"/>
          <w:color w:val="000000"/>
          <w:spacing w:val="-4"/>
        </w:rPr>
      </w:pPr>
      <w:r>
        <w:rPr>
          <w:rFonts w:ascii="Book Antiqua" w:hAnsi="Book Antiqua" w:cs="Book Antiqua"/>
          <w:color w:val="000000"/>
          <w:spacing w:val="-4"/>
        </w:rPr>
        <w:t xml:space="preserve">  soit la 1</w:t>
      </w:r>
      <w:r>
        <w:rPr>
          <w:rFonts w:ascii="Book Antiqua" w:hAnsi="Book Antiqua" w:cs="Book Antiqua"/>
          <w:color w:val="000000"/>
          <w:spacing w:val="-4"/>
          <w:vertAlign w:val="superscript"/>
        </w:rPr>
        <w:t>ère</w:t>
      </w:r>
      <w:r>
        <w:rPr>
          <w:rFonts w:ascii="Book Antiqua" w:hAnsi="Book Antiqua" w:cs="Book Antiqua"/>
          <w:color w:val="000000"/>
          <w:spacing w:val="-4"/>
        </w:rPr>
        <w:t xml:space="preserve"> année D et la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 </w:t>
      </w:r>
    </w:p>
    <w:p>
      <w:pPr>
        <w:numPr>
          <w:ilvl w:val="0"/>
          <w:numId w:val="6"/>
        </w:numPr>
        <w:tabs>
          <w:tab w:val="clear" w:pos="2138"/>
          <w:tab w:val="left" w:pos="-1440"/>
          <w:tab w:val="left" w:pos="-720"/>
        </w:tabs>
        <w:spacing w:before="120"/>
        <w:ind w:left="1985" w:hanging="357"/>
        <w:jc w:val="both"/>
        <w:rPr>
          <w:rFonts w:ascii="Book Antiqua" w:hAnsi="Book Antiqua" w:cs="Book Antiqua"/>
          <w:color w:val="000000"/>
          <w:spacing w:val="-4"/>
        </w:rPr>
      </w:pPr>
      <w:r>
        <w:rPr>
          <w:rFonts w:ascii="Book Antiqua" w:hAnsi="Book Antiqua" w:cs="Book Antiqua"/>
          <w:color w:val="000000"/>
          <w:spacing w:val="-4"/>
        </w:rPr>
        <w:t xml:space="preserve">de 16 ans accomplis </w:t>
      </w:r>
      <w:r>
        <w:rPr>
          <w:rStyle w:val="Caractresdenotedebasdepage"/>
          <w:rFonts w:ascii="Book Antiqua" w:hAnsi="Book Antiqua" w:cs="Book Antiqua"/>
          <w:color w:val="000000"/>
          <w:spacing w:val="-4"/>
        </w:rPr>
        <w:footnoteReference w:id="43"/>
      </w:r>
    </w:p>
    <w:p>
      <w:pPr>
        <w:numPr>
          <w:ilvl w:val="0"/>
          <w:numId w:val="36"/>
        </w:numPr>
        <w:tabs>
          <w:tab w:val="clear" w:pos="1778"/>
          <w:tab w:val="left" w:pos="-1440"/>
          <w:tab w:val="left" w:pos="-720"/>
          <w:tab w:val="left" w:pos="993"/>
        </w:tabs>
        <w:spacing w:before="120" w:after="120"/>
        <w:ind w:left="1985" w:hanging="709"/>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44"/>
      </w:r>
      <w:r>
        <w:rPr>
          <w:rFonts w:ascii="Book Antiqua" w:hAnsi="Book Antiqua" w:cs="Book Antiqua"/>
          <w:color w:val="000000"/>
          <w:spacing w:val="-4"/>
        </w:rPr>
        <w:t> :</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s>
        <w:ind w:left="2702" w:hanging="586"/>
        <w:jc w:val="both"/>
        <w:rPr>
          <w:rFonts w:ascii="Book Antiqua" w:hAnsi="Book Antiqua" w:cs="Book Antiqua"/>
          <w:color w:val="000000"/>
          <w:spacing w:val="-4"/>
        </w:rPr>
      </w:pPr>
      <w:r>
        <w:rPr>
          <w:rFonts w:ascii="Book Antiqua" w:hAnsi="Book Antiqua" w:cs="Book Antiqua"/>
          <w:color w:val="000000"/>
          <w:spacing w:val="-4"/>
        </w:rPr>
        <w:t>une convention emploi formation;</w:t>
      </w:r>
    </w:p>
    <w:p>
      <w:pPr>
        <w:numPr>
          <w:ilvl w:val="0"/>
          <w:numId w:val="25"/>
        </w:numPr>
        <w:tabs>
          <w:tab w:val="clear" w:pos="360"/>
          <w:tab w:val="left" w:pos="-1440"/>
          <w:tab w:val="left" w:pos="-720"/>
          <w:tab w:val="num" w:pos="1069"/>
        </w:tabs>
        <w:ind w:left="2702" w:hanging="586"/>
        <w:jc w:val="both"/>
        <w:rPr>
          <w:rFonts w:ascii="Book Antiqua" w:hAnsi="Book Antiqua" w:cs="Book Antiqua"/>
          <w:color w:val="000000"/>
          <w:spacing w:val="-4"/>
        </w:rPr>
      </w:pPr>
      <w:r>
        <w:rPr>
          <w:rFonts w:ascii="Book Antiqua" w:hAnsi="Book Antiqua" w:cs="Book Antiqua"/>
          <w:color w:val="000000"/>
          <w:spacing w:val="-4"/>
        </w:rPr>
        <w:t xml:space="preserve">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s>
        <w:ind w:left="2702" w:hanging="586"/>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 </w:t>
      </w:r>
    </w:p>
    <w:p>
      <w:pPr>
        <w:numPr>
          <w:ilvl w:val="0"/>
          <w:numId w:val="43"/>
        </w:numPr>
        <w:tabs>
          <w:tab w:val="clear" w:pos="1778"/>
          <w:tab w:val="left" w:pos="-1440"/>
          <w:tab w:val="left" w:pos="-720"/>
        </w:tabs>
        <w:spacing w:before="120" w:after="120"/>
        <w:ind w:left="1985" w:hanging="709"/>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45"/>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w:t>
      </w:r>
    </w:p>
    <w:p>
      <w:pPr>
        <w:numPr>
          <w:ilvl w:val="0"/>
          <w:numId w:val="25"/>
        </w:numPr>
        <w:tabs>
          <w:tab w:val="clear" w:pos="360"/>
          <w:tab w:val="left" w:pos="-1440"/>
          <w:tab w:val="left" w:pos="-720"/>
          <w:tab w:val="num" w:pos="1069"/>
        </w:tabs>
        <w:spacing w:after="240"/>
        <w:ind w:left="2713" w:hanging="586"/>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43"/>
        </w:numPr>
        <w:tabs>
          <w:tab w:val="clear" w:pos="1778"/>
          <w:tab w:val="left" w:pos="-1440"/>
          <w:tab w:val="left" w:pos="-720"/>
        </w:tabs>
        <w:spacing w:before="120" w:after="120"/>
        <w:ind w:left="1776"/>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46"/>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pageBreakBefore/>
        <w:tabs>
          <w:tab w:val="left" w:pos="-1440"/>
          <w:tab w:val="left" w:pos="-720"/>
          <w:tab w:val="left" w:pos="4820"/>
        </w:tabs>
        <w:ind w:left="993" w:hanging="338"/>
        <w:jc w:val="both"/>
        <w:rPr>
          <w:rFonts w:ascii="Book Antiqua" w:hAnsi="Book Antiqua" w:cs="Book Antiqua"/>
          <w:color w:val="000000"/>
        </w:rPr>
      </w:pPr>
      <w:r>
        <w:rPr>
          <w:rFonts w:ascii="Book Antiqua" w:hAnsi="Book Antiqua" w:cs="Book Antiqua"/>
          <w:b/>
          <w:color w:val="000000"/>
          <w:spacing w:val="-4"/>
        </w:rPr>
        <w:lastRenderedPageBreak/>
        <w:t xml:space="preserve">- </w:t>
      </w:r>
      <w:r>
        <w:rPr>
          <w:rFonts w:ascii="Book Antiqua" w:hAnsi="Book Antiqua" w:cs="Book Antiqua"/>
          <w:b/>
          <w:color w:val="000000"/>
          <w:spacing w:val="-4"/>
          <w:u w:val="single"/>
        </w:rPr>
        <w:t>en formation article « 45 », au troisième degré de l’enseignement professionnel,</w:t>
      </w:r>
      <w:r>
        <w:rPr>
          <w:rFonts w:ascii="Book Antiqua" w:hAnsi="Book Antiqua" w:cs="Book Antiqua"/>
          <w:b/>
          <w:color w:val="000000"/>
          <w:spacing w:val="-4"/>
        </w:rPr>
        <w:t xml:space="preserve"> </w:t>
      </w:r>
      <w:r>
        <w:rPr>
          <w:rFonts w:ascii="Book Antiqua" w:hAnsi="Book Antiqua" w:cs="Book Antiqua"/>
          <w:color w:val="000000"/>
        </w:rPr>
        <w:t>l’élève titulaire de l’attestation ou d’un des certificats suivants</w:t>
      </w:r>
      <w:r>
        <w:rPr>
          <w:rStyle w:val="Caractresdenotedebasdepage"/>
          <w:rFonts w:ascii="Book Antiqua" w:hAnsi="Book Antiqua" w:cs="Book Antiqua"/>
          <w:color w:val="000000"/>
        </w:rPr>
        <w:footnoteReference w:id="47"/>
      </w:r>
      <w:r>
        <w:rPr>
          <w:rFonts w:ascii="Book Antiqua" w:hAnsi="Book Antiqua" w:cs="Book Antiqua"/>
          <w:color w:val="000000"/>
        </w:rPr>
        <w:t> :</w:t>
      </w:r>
    </w:p>
    <w:p>
      <w:pPr>
        <w:numPr>
          <w:ilvl w:val="0"/>
          <w:numId w:val="23"/>
        </w:numPr>
        <w:tabs>
          <w:tab w:val="clear" w:pos="360"/>
          <w:tab w:val="left" w:pos="-1440"/>
          <w:tab w:val="left" w:pos="-720"/>
          <w:tab w:val="num" w:pos="1069"/>
          <w:tab w:val="left" w:pos="4820"/>
        </w:tabs>
        <w:ind w:left="1985" w:hanging="425"/>
        <w:jc w:val="both"/>
        <w:rPr>
          <w:rFonts w:ascii="Book Antiqua" w:hAnsi="Book Antiqua" w:cs="Book Antiqua"/>
          <w:color w:val="000000"/>
          <w:spacing w:val="-4"/>
        </w:rPr>
      </w:pPr>
      <w:r>
        <w:rPr>
          <w:rFonts w:ascii="Book Antiqua" w:hAnsi="Book Antiqua" w:cs="Book Antiqua"/>
          <w:color w:val="000000"/>
          <w:spacing w:val="-4"/>
        </w:rPr>
        <w:t>l’attestation de compétences professionnelles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de l’enseignement secondaire en alternance ;</w:t>
      </w:r>
    </w:p>
    <w:p>
      <w:pPr>
        <w:numPr>
          <w:ilvl w:val="0"/>
          <w:numId w:val="23"/>
        </w:numPr>
        <w:tabs>
          <w:tab w:val="clear" w:pos="360"/>
          <w:tab w:val="left" w:pos="-1440"/>
          <w:tab w:val="left" w:pos="-720"/>
          <w:tab w:val="num" w:pos="1069"/>
          <w:tab w:val="left" w:pos="4820"/>
        </w:tabs>
        <w:ind w:left="1985" w:hanging="425"/>
        <w:jc w:val="both"/>
        <w:rPr>
          <w:rFonts w:ascii="Book Antiqua" w:hAnsi="Book Antiqua" w:cs="Book Antiqua"/>
          <w:color w:val="000000"/>
          <w:spacing w:val="-4"/>
        </w:rPr>
      </w:pPr>
      <w:r>
        <w:rPr>
          <w:rFonts w:ascii="Book Antiqua" w:hAnsi="Book Antiqua" w:cs="Book Antiqua"/>
          <w:color w:val="000000"/>
          <w:spacing w:val="-4"/>
        </w:rPr>
        <w:t>le certificat d’enseignement secondaire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ou le certificat d’enseignement secondaire inférieur ;</w:t>
      </w:r>
    </w:p>
    <w:p>
      <w:pPr>
        <w:numPr>
          <w:ilvl w:val="0"/>
          <w:numId w:val="23"/>
        </w:numPr>
        <w:tabs>
          <w:tab w:val="clear" w:pos="360"/>
          <w:tab w:val="left" w:pos="-1440"/>
          <w:tab w:val="left" w:pos="-720"/>
          <w:tab w:val="num" w:pos="1069"/>
          <w:tab w:val="left" w:pos="4820"/>
        </w:tabs>
        <w:ind w:left="1985" w:hanging="425"/>
        <w:jc w:val="both"/>
        <w:rPr>
          <w:rFonts w:ascii="Book Antiqua" w:hAnsi="Book Antiqua" w:cs="Book Antiqua"/>
          <w:color w:val="000000"/>
          <w:spacing w:val="-4"/>
        </w:rPr>
      </w:pPr>
      <w:r>
        <w:rPr>
          <w:rFonts w:ascii="Book Antiqua" w:hAnsi="Book Antiqua" w:cs="Book Antiqua"/>
          <w:color w:val="000000"/>
          <w:spacing w:val="-4"/>
        </w:rPr>
        <w:t>le certificat de qualification de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des enseignements secondaires de plein exercice ordinaire ou spécialisé de forme 4</w:t>
      </w:r>
    </w:p>
    <w:p>
      <w:pPr>
        <w:numPr>
          <w:ilvl w:val="0"/>
          <w:numId w:val="23"/>
        </w:numPr>
        <w:tabs>
          <w:tab w:val="clear" w:pos="360"/>
          <w:tab w:val="left" w:pos="-1440"/>
          <w:tab w:val="left" w:pos="-720"/>
          <w:tab w:val="num" w:pos="1069"/>
          <w:tab w:val="left" w:pos="4820"/>
        </w:tabs>
        <w:ind w:left="1985" w:hanging="425"/>
        <w:jc w:val="both"/>
        <w:rPr>
          <w:rFonts w:ascii="Book Antiqua" w:hAnsi="Book Antiqua" w:cs="Book Antiqua"/>
          <w:color w:val="000000"/>
          <w:spacing w:val="-4"/>
        </w:rPr>
      </w:pPr>
      <w:r>
        <w:rPr>
          <w:rFonts w:ascii="Book Antiqua" w:hAnsi="Book Antiqua" w:cs="Book Antiqua"/>
          <w:color w:val="000000"/>
          <w:spacing w:val="-4"/>
        </w:rPr>
        <w:t>le certificat de qualification de 3</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phase de l’enseignement spécialisé de forme 3.</w:t>
      </w:r>
    </w:p>
    <w:p>
      <w:pPr>
        <w:numPr>
          <w:ilvl w:val="0"/>
          <w:numId w:val="3"/>
        </w:numPr>
        <w:tabs>
          <w:tab w:val="clear" w:pos="360"/>
          <w:tab w:val="left" w:pos="-1440"/>
          <w:tab w:val="left" w:pos="-720"/>
          <w:tab w:val="num" w:pos="1069"/>
          <w:tab w:val="left" w:pos="1418"/>
        </w:tabs>
        <w:spacing w:before="120" w:after="120"/>
        <w:ind w:left="1134" w:hanging="284"/>
        <w:jc w:val="both"/>
        <w:rPr>
          <w:rFonts w:ascii="Book Antiqua" w:hAnsi="Book Antiqua" w:cs="Book Antiqua"/>
          <w:color w:val="000000"/>
          <w:spacing w:val="-4"/>
        </w:rPr>
      </w:pPr>
      <w:r>
        <w:rPr>
          <w:rFonts w:ascii="Book Antiqua" w:hAnsi="Book Antiqua" w:cs="Book Antiqua"/>
          <w:color w:val="000000"/>
          <w:spacing w:val="-4"/>
        </w:rPr>
        <w:t xml:space="preserve"> 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48"/>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2561"/>
        </w:tabs>
        <w:ind w:left="270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w:t>
      </w:r>
    </w:p>
    <w:p>
      <w:pPr>
        <w:numPr>
          <w:ilvl w:val="0"/>
          <w:numId w:val="25"/>
        </w:numPr>
        <w:tabs>
          <w:tab w:val="clear" w:pos="360"/>
          <w:tab w:val="left" w:pos="-1440"/>
          <w:tab w:val="left" w:pos="-720"/>
          <w:tab w:val="num" w:pos="1069"/>
          <w:tab w:val="left" w:pos="2561"/>
        </w:tabs>
        <w:ind w:left="2702"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61"/>
        </w:tabs>
        <w:ind w:left="2702"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numPr>
          <w:ilvl w:val="0"/>
          <w:numId w:val="35"/>
        </w:numPr>
        <w:tabs>
          <w:tab w:val="clear" w:pos="360"/>
          <w:tab w:val="left" w:pos="-1440"/>
          <w:tab w:val="left" w:pos="-720"/>
          <w:tab w:val="num" w:pos="1069"/>
          <w:tab w:val="left" w:pos="2266"/>
        </w:tabs>
        <w:spacing w:before="120" w:after="120"/>
        <w:ind w:left="1134"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49"/>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assorti d’une convention de premier emploi de type 2 ou 3  ;</w:t>
      </w:r>
    </w:p>
    <w:p>
      <w:pPr>
        <w:numPr>
          <w:ilvl w:val="0"/>
          <w:numId w:val="25"/>
        </w:numPr>
        <w:tabs>
          <w:tab w:val="clear" w:pos="360"/>
          <w:tab w:val="left" w:pos="-1440"/>
          <w:tab w:val="left" w:pos="-720"/>
          <w:tab w:val="num" w:pos="1069"/>
          <w:tab w:val="left" w:pos="2572"/>
        </w:tabs>
        <w:spacing w:after="240"/>
        <w:ind w:left="2710"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numPr>
          <w:ilvl w:val="0"/>
          <w:numId w:val="43"/>
        </w:numPr>
        <w:tabs>
          <w:tab w:val="clear" w:pos="1778"/>
          <w:tab w:val="left" w:pos="-1440"/>
          <w:tab w:val="left" w:pos="-720"/>
        </w:tabs>
        <w:spacing w:before="120" w:after="120"/>
        <w:ind w:left="1276"/>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50"/>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tabs>
          <w:tab w:val="left" w:pos="-1440"/>
          <w:tab w:val="left" w:pos="-720"/>
          <w:tab w:val="left" w:pos="2572"/>
        </w:tabs>
        <w:spacing w:after="240"/>
        <w:ind w:left="709"/>
        <w:jc w:val="both"/>
        <w:rPr>
          <w:rFonts w:ascii="Book Antiqua" w:hAnsi="Book Antiqua" w:cs="Book Antiqua"/>
          <w:color w:val="000000"/>
          <w:spacing w:val="-4"/>
        </w:rPr>
      </w:pPr>
    </w:p>
    <w:p>
      <w:pPr>
        <w:pageBreakBefore/>
        <w:tabs>
          <w:tab w:val="left" w:pos="-1440"/>
          <w:tab w:val="left" w:pos="-720"/>
          <w:tab w:val="left" w:pos="4820"/>
        </w:tabs>
        <w:spacing w:after="120"/>
        <w:ind w:left="1789" w:hanging="357"/>
        <w:jc w:val="both"/>
        <w:rPr>
          <w:rStyle w:val="niveau4Car"/>
        </w:rPr>
      </w:pPr>
      <w:r>
        <w:rPr>
          <w:rStyle w:val="niveau4Car"/>
        </w:rPr>
        <w:lastRenderedPageBreak/>
        <w:t>2. Formations relevant de l’article « 49 »</w:t>
      </w:r>
    </w:p>
    <w:p>
      <w:pPr>
        <w:pStyle w:val="Corpsdetexte"/>
        <w:ind w:left="1986"/>
        <w:rPr>
          <w:rFonts w:ascii="Book Antiqua" w:hAnsi="Book Antiqua"/>
          <w:sz w:val="20"/>
          <w:szCs w:val="20"/>
        </w:rPr>
      </w:pPr>
      <w:r>
        <w:rPr>
          <w:rFonts w:ascii="Book Antiqua" w:hAnsi="Book Antiqua"/>
          <w:sz w:val="20"/>
          <w:szCs w:val="20"/>
          <w:u w:val="single"/>
        </w:rPr>
        <w:t>Les conditions d’accès à chacune des années d’études sont les mêmes que celles de l’enseignement secondaire de plein exercice, sous réserve que, concernant les conditions d’accès à la 3</w:t>
      </w:r>
      <w:r>
        <w:rPr>
          <w:rFonts w:ascii="Book Antiqua" w:hAnsi="Book Antiqua"/>
          <w:sz w:val="20"/>
          <w:szCs w:val="20"/>
          <w:u w:val="single"/>
          <w:vertAlign w:val="superscript"/>
        </w:rPr>
        <w:t>ème</w:t>
      </w:r>
      <w:r>
        <w:rPr>
          <w:rFonts w:ascii="Book Antiqua" w:hAnsi="Book Antiqua"/>
          <w:sz w:val="20"/>
          <w:szCs w:val="20"/>
          <w:u w:val="single"/>
        </w:rPr>
        <w:t xml:space="preserve"> P, l’élève ne soit plus soumis à l’obligation scolaire à temps plein. </w:t>
      </w:r>
      <w:r>
        <w:rPr>
          <w:rStyle w:val="Caractresdenotedebasdepage"/>
          <w:rFonts w:ascii="Book Antiqua" w:hAnsi="Book Antiqua" w:cs="Book Antiqua"/>
          <w:color w:val="000000"/>
          <w:spacing w:val="-4"/>
          <w:sz w:val="20"/>
          <w:szCs w:val="20"/>
          <w:u w:val="single"/>
        </w:rPr>
        <w:footnoteReference w:id="51"/>
      </w:r>
    </w:p>
    <w:p>
      <w:pPr>
        <w:pStyle w:val="niveau5"/>
        <w:ind w:left="1418"/>
        <w:rPr>
          <w:sz w:val="28"/>
          <w:szCs w:val="28"/>
        </w:rPr>
      </w:pPr>
      <w:r>
        <w:rPr>
          <w:sz w:val="28"/>
          <w:szCs w:val="28"/>
        </w:rPr>
        <w:t>2.1. Enseignement professionnel</w:t>
      </w:r>
    </w:p>
    <w:p>
      <w:pPr>
        <w:pStyle w:val="Corpsdetexte"/>
        <w:ind w:left="1986"/>
        <w:rPr>
          <w:rFonts w:ascii="Book Antiqua" w:hAnsi="Book Antiqua"/>
          <w:sz w:val="20"/>
          <w:szCs w:val="20"/>
        </w:rPr>
      </w:pPr>
      <w:r>
        <w:rPr>
          <w:rFonts w:ascii="Book Antiqua" w:hAnsi="Book Antiqua"/>
          <w:sz w:val="20"/>
          <w:szCs w:val="20"/>
        </w:rPr>
        <w:t xml:space="preserve">Peuvent être inscrits dans l’enseignement en alternance, </w:t>
      </w:r>
      <w:r>
        <w:rPr>
          <w:rFonts w:ascii="Book Antiqua" w:hAnsi="Book Antiqua"/>
          <w:b/>
          <w:sz w:val="20"/>
          <w:szCs w:val="20"/>
          <w:u w:val="single"/>
        </w:rPr>
        <w:t>en formation article « 49 »</w:t>
      </w:r>
      <w:r>
        <w:rPr>
          <w:rFonts w:ascii="Book Antiqua" w:hAnsi="Book Antiqua"/>
          <w:sz w:val="20"/>
          <w:szCs w:val="20"/>
        </w:rPr>
        <w:t> :</w:t>
      </w:r>
    </w:p>
    <w:p>
      <w:pPr>
        <w:pStyle w:val="Corpsdetext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rPr>
          <w:u w:val="single"/>
        </w:rPr>
      </w:pPr>
      <w:r>
        <w:rPr>
          <w:u w:val="single"/>
        </w:rPr>
        <w:t>en 3</w:t>
      </w:r>
      <w:r>
        <w:rPr>
          <w:u w:val="single"/>
          <w:vertAlign w:val="superscript"/>
        </w:rPr>
        <w:t>ème</w:t>
      </w:r>
      <w:r>
        <w:rPr>
          <w:u w:val="single"/>
        </w:rPr>
        <w:t xml:space="preserve"> année P :</w:t>
      </w:r>
    </w:p>
    <w:p>
      <w:pPr>
        <w:numPr>
          <w:ilvl w:val="0"/>
          <w:numId w:val="35"/>
        </w:numPr>
        <w:tabs>
          <w:tab w:val="clear" w:pos="360"/>
          <w:tab w:val="left" w:pos="-1440"/>
          <w:tab w:val="left" w:pos="-720"/>
          <w:tab w:val="num" w:pos="1069"/>
          <w:tab w:val="left" w:pos="1637"/>
          <w:tab w:val="left" w:pos="2410"/>
        </w:tabs>
        <w:spacing w:after="120"/>
        <w:ind w:left="2346"/>
        <w:jc w:val="both"/>
        <w:rPr>
          <w:rFonts w:ascii="Book Antiqua" w:hAnsi="Book Antiqua" w:cs="Book Antiqua"/>
        </w:rPr>
      </w:pPr>
      <w:r>
        <w:rPr>
          <w:rFonts w:ascii="Book Antiqua" w:hAnsi="Book Antiqua" w:cs="Book Antiqua"/>
        </w:rPr>
        <w:t>les élèves mineurs âgés, au moment de l’inscription, de 15 ans accomplis et qui répondent à l’une des conditions suivantes :</w:t>
      </w:r>
    </w:p>
    <w:p>
      <w:pPr>
        <w:pStyle w:val="Normal1"/>
        <w:spacing w:after="60"/>
        <w:ind w:left="2695"/>
        <w:jc w:val="both"/>
        <w:rPr>
          <w:rFonts w:ascii="Book Antiqua" w:hAnsi="Book Antiqua" w:cs="Book Antiqua"/>
          <w:sz w:val="20"/>
          <w:szCs w:val="22"/>
        </w:rPr>
      </w:pPr>
      <w:r>
        <w:rPr>
          <w:rFonts w:ascii="Book Antiqua" w:hAnsi="Book Antiqua" w:cs="Book Antiqua"/>
          <w:sz w:val="20"/>
          <w:szCs w:val="22"/>
        </w:rPr>
        <w:t>a) avoir obtenu la réussite du 1</w:t>
      </w:r>
      <w:r>
        <w:rPr>
          <w:rFonts w:ascii="Book Antiqua" w:hAnsi="Book Antiqua" w:cs="Book Antiqua"/>
          <w:sz w:val="20"/>
          <w:szCs w:val="22"/>
          <w:vertAlign w:val="superscript"/>
        </w:rPr>
        <w:t>er</w:t>
      </w:r>
      <w:r>
        <w:rPr>
          <w:rFonts w:ascii="Book Antiqua" w:hAnsi="Book Antiqua" w:cs="Book Antiqua"/>
          <w:sz w:val="20"/>
          <w:szCs w:val="22"/>
        </w:rPr>
        <w:t xml:space="preserve"> degré (CE1D) de l’enseignement secondaire (2C, 2S, 3S-DO) ; </w:t>
      </w:r>
    </w:p>
    <w:p>
      <w:pPr>
        <w:pStyle w:val="Normal1"/>
        <w:spacing w:after="60"/>
        <w:ind w:left="2695"/>
        <w:jc w:val="both"/>
        <w:rPr>
          <w:rFonts w:ascii="Book Antiqua" w:hAnsi="Book Antiqua" w:cs="Book Antiqua"/>
          <w:sz w:val="20"/>
          <w:szCs w:val="22"/>
        </w:rPr>
      </w:pPr>
      <w:r>
        <w:rPr>
          <w:rFonts w:ascii="Book Antiqua" w:hAnsi="Book Antiqua" w:cs="Book Antiqua"/>
          <w:sz w:val="20"/>
          <w:szCs w:val="22"/>
        </w:rPr>
        <w:t>b) être orientés par le Conseil de classe vers une 3ème année de l'enseignement secondaire dans les formes et sections définies par celui-ci, dont la forme professionnelle (ce qui implique d’être en possession d’une attestation d'orientation délivrée au terme des années d'études suivantes : 2C, 2S, 3S-DO, 2D, 2DS) ;</w:t>
      </w:r>
    </w:p>
    <w:p>
      <w:pPr>
        <w:pStyle w:val="Normal1"/>
        <w:numPr>
          <w:ilvl w:val="0"/>
          <w:numId w:val="45"/>
        </w:numPr>
        <w:tabs>
          <w:tab w:val="clear" w:pos="1778"/>
          <w:tab w:val="num" w:pos="2487"/>
        </w:tabs>
        <w:spacing w:after="60"/>
        <w:ind w:left="2487"/>
        <w:jc w:val="both"/>
        <w:rPr>
          <w:sz w:val="22"/>
          <w:szCs w:val="22"/>
        </w:rPr>
      </w:pPr>
      <w:r>
        <w:rPr>
          <w:rFonts w:ascii="Book Antiqua" w:hAnsi="Book Antiqua" w:cs="Book Antiqua"/>
          <w:sz w:val="20"/>
          <w:szCs w:val="22"/>
          <w:u w:val="single"/>
        </w:rPr>
        <w:t>NB</w:t>
      </w:r>
      <w:r>
        <w:rPr>
          <w:rFonts w:ascii="Book Antiqua" w:hAnsi="Book Antiqua" w:cs="Book Antiqua"/>
          <w:sz w:val="20"/>
          <w:szCs w:val="22"/>
        </w:rPr>
        <w:t xml:space="preserve"> : peut également être inscrit, </w:t>
      </w:r>
      <w:r>
        <w:rPr>
          <w:rFonts w:ascii="Book Antiqua" w:hAnsi="Book Antiqua" w:cs="Book Antiqua"/>
          <w:sz w:val="20"/>
          <w:szCs w:val="22"/>
          <w:u w:val="single"/>
        </w:rPr>
        <w:t>tout élève qui répond aux trois conditions suivantes :</w:t>
      </w:r>
    </w:p>
    <w:p>
      <w:pPr>
        <w:pStyle w:val="Normal1"/>
        <w:numPr>
          <w:ilvl w:val="1"/>
          <w:numId w:val="45"/>
        </w:numPr>
        <w:tabs>
          <w:tab w:val="clear" w:pos="2498"/>
          <w:tab w:val="num" w:pos="3207"/>
        </w:tabs>
        <w:spacing w:after="60"/>
        <w:ind w:left="3207"/>
        <w:jc w:val="both"/>
        <w:rPr>
          <w:sz w:val="22"/>
          <w:szCs w:val="22"/>
        </w:rPr>
      </w:pPr>
      <w:r>
        <w:rPr>
          <w:rFonts w:ascii="Book Antiqua" w:hAnsi="Book Antiqua" w:cs="Book Antiqua"/>
          <w:sz w:val="20"/>
          <w:szCs w:val="22"/>
        </w:rPr>
        <w:t>ne pas satisfaire aux dispositions de l’équivalence des diplômes et certificats d’études étrangers ;</w:t>
      </w:r>
    </w:p>
    <w:p>
      <w:pPr>
        <w:pStyle w:val="Normal1"/>
        <w:numPr>
          <w:ilvl w:val="1"/>
          <w:numId w:val="45"/>
        </w:numPr>
        <w:tabs>
          <w:tab w:val="clear" w:pos="2498"/>
          <w:tab w:val="num" w:pos="3207"/>
        </w:tabs>
        <w:spacing w:after="60"/>
        <w:ind w:left="3207"/>
        <w:jc w:val="both"/>
        <w:rPr>
          <w:sz w:val="22"/>
          <w:szCs w:val="22"/>
        </w:rPr>
      </w:pPr>
      <w:r>
        <w:rPr>
          <w:rFonts w:ascii="Book Antiqua" w:hAnsi="Book Antiqua" w:cs="Book Antiqua"/>
          <w:sz w:val="20"/>
          <w:szCs w:val="22"/>
        </w:rPr>
        <w:t>faire l’objet d’un avis favorable du Conseil d’admission ;</w:t>
      </w:r>
    </w:p>
    <w:p>
      <w:pPr>
        <w:pStyle w:val="Normal1"/>
        <w:numPr>
          <w:ilvl w:val="1"/>
          <w:numId w:val="45"/>
        </w:numPr>
        <w:tabs>
          <w:tab w:val="clear" w:pos="2498"/>
          <w:tab w:val="num" w:pos="3207"/>
        </w:tabs>
        <w:spacing w:after="60"/>
        <w:ind w:left="3207"/>
        <w:jc w:val="both"/>
        <w:rPr>
          <w:sz w:val="22"/>
          <w:szCs w:val="22"/>
        </w:rPr>
      </w:pPr>
      <w:r>
        <w:rPr>
          <w:rFonts w:ascii="Book Antiqua" w:hAnsi="Book Antiqua" w:cs="Book Antiqua"/>
          <w:sz w:val="20"/>
          <w:szCs w:val="22"/>
        </w:rPr>
        <w:t>être âgé de 16 ans avant le 31 décembre qui suit le début de l’année scolaire.</w:t>
      </w:r>
    </w:p>
    <w:p>
      <w:pPr>
        <w:pBdr>
          <w:top w:val="single" w:sz="4" w:space="1" w:color="auto"/>
          <w:left w:val="single" w:sz="4" w:space="4" w:color="auto"/>
          <w:bottom w:val="single" w:sz="4" w:space="1" w:color="auto"/>
          <w:right w:val="single" w:sz="4" w:space="4" w:color="auto"/>
        </w:pBdr>
        <w:tabs>
          <w:tab w:val="left" w:pos="-1440"/>
          <w:tab w:val="left" w:pos="-720"/>
          <w:tab w:val="left" w:pos="993"/>
        </w:tabs>
        <w:spacing w:before="120" w:after="120"/>
        <w:ind w:left="1778"/>
        <w:jc w:val="both"/>
        <w:rPr>
          <w:rFonts w:ascii="Book Antiqua" w:hAnsi="Book Antiqua"/>
          <w:lang w:val="fr-BE"/>
        </w:rPr>
      </w:pPr>
      <w:r>
        <w:rPr>
          <w:rFonts w:ascii="Book Antiqua" w:hAnsi="Book Antiqua" w:cs="Book Antiqua"/>
          <w:spacing w:val="-4"/>
        </w:rPr>
        <w:t>L</w:t>
      </w:r>
      <w:r>
        <w:rPr>
          <w:rFonts w:ascii="Book Antiqua" w:hAnsi="Book Antiqua"/>
          <w:lang w:val="fr-BE"/>
        </w:rPr>
        <w:t>’article 56, 4° de l’arrêté royal du 29 juin 1984 relatif à l’organisation de l’enseignement secondaire prévoit que l</w:t>
      </w:r>
      <w:r>
        <w:rPr>
          <w:rFonts w:ascii="Book Antiqua" w:hAnsi="Book Antiqua" w:cs="CenturySchoolbook"/>
          <w:lang w:eastAsia="fr-FR"/>
        </w:rPr>
        <w:t>e Ministre ou son délégué peut, en raison de circonstances particulières et exceptionnelles, et pour des cas individuels, déroger</w:t>
      </w:r>
      <w:r>
        <w:rPr>
          <w:rFonts w:ascii="Book Antiqua" w:hAnsi="Book Antiqua"/>
          <w:lang w:val="fr-BE"/>
        </w:rPr>
        <w:t xml:space="preserve"> aux conditions d’admission en 3P, pour les élèves qui </w:t>
      </w:r>
    </w:p>
    <w:p>
      <w:pPr>
        <w:pBdr>
          <w:top w:val="single" w:sz="4" w:space="1" w:color="auto"/>
          <w:left w:val="single" w:sz="4" w:space="4" w:color="auto"/>
          <w:bottom w:val="single" w:sz="4" w:space="1" w:color="auto"/>
          <w:right w:val="single" w:sz="4" w:space="4" w:color="auto"/>
        </w:pBdr>
        <w:tabs>
          <w:tab w:val="left" w:pos="-1440"/>
          <w:tab w:val="left" w:pos="-720"/>
          <w:tab w:val="left" w:pos="993"/>
        </w:tabs>
        <w:spacing w:before="120" w:after="120"/>
        <w:ind w:left="1778"/>
        <w:jc w:val="both"/>
        <w:rPr>
          <w:rFonts w:ascii="Book Antiqua" w:hAnsi="Book Antiqua"/>
          <w:lang w:val="fr-BE"/>
        </w:rPr>
      </w:pPr>
      <w:r>
        <w:rPr>
          <w:rFonts w:ascii="Book Antiqua" w:hAnsi="Book Antiqua" w:cs="Book Antiqua"/>
          <w:spacing w:val="-4"/>
          <w:lang w:val="fr-BE"/>
        </w:rPr>
        <w:t xml:space="preserve">- </w:t>
      </w:r>
      <w:r>
        <w:rPr>
          <w:rFonts w:ascii="Book Antiqua" w:hAnsi="Book Antiqua"/>
          <w:lang w:val="fr-BE"/>
        </w:rPr>
        <w:t xml:space="preserve">ont 16 ans ; </w:t>
      </w:r>
    </w:p>
    <w:p>
      <w:pPr>
        <w:pBdr>
          <w:top w:val="single" w:sz="4" w:space="1" w:color="auto"/>
          <w:left w:val="single" w:sz="4" w:space="4" w:color="auto"/>
          <w:bottom w:val="single" w:sz="4" w:space="1" w:color="auto"/>
          <w:right w:val="single" w:sz="4" w:space="4" w:color="auto"/>
        </w:pBdr>
        <w:tabs>
          <w:tab w:val="left" w:pos="-1440"/>
          <w:tab w:val="left" w:pos="-720"/>
          <w:tab w:val="left" w:pos="993"/>
        </w:tabs>
        <w:spacing w:before="120" w:after="120"/>
        <w:ind w:left="1778"/>
        <w:jc w:val="both"/>
        <w:rPr>
          <w:rFonts w:ascii="Book Antiqua" w:hAnsi="Book Antiqua"/>
          <w:lang w:val="fr-BE"/>
        </w:rPr>
      </w:pPr>
      <w:r>
        <w:rPr>
          <w:rFonts w:ascii="Book Antiqua" w:hAnsi="Book Antiqua"/>
          <w:lang w:val="fr-BE"/>
        </w:rPr>
        <w:t xml:space="preserve">- ont 15 ans et qui ont suivi au moins deux années d’études au sein du premier degré dans l’enseignement secondaire : 1C+2C ou 1D+1C ou 1D+2D).  Cette demande sera introduite via le formulaire électronique accessible à l’adresse suivante : </w:t>
      </w:r>
    </w:p>
    <w:p>
      <w:pPr>
        <w:pBdr>
          <w:top w:val="single" w:sz="4" w:space="1" w:color="auto"/>
          <w:left w:val="single" w:sz="4" w:space="4" w:color="auto"/>
          <w:bottom w:val="single" w:sz="4" w:space="1" w:color="auto"/>
          <w:right w:val="single" w:sz="4" w:space="4" w:color="auto"/>
        </w:pBdr>
        <w:tabs>
          <w:tab w:val="left" w:pos="-1440"/>
          <w:tab w:val="left" w:pos="-720"/>
          <w:tab w:val="left" w:pos="993"/>
        </w:tabs>
        <w:spacing w:before="120" w:after="120"/>
        <w:ind w:left="1778"/>
        <w:jc w:val="both"/>
        <w:rPr>
          <w:rStyle w:val="Lienhypertexte"/>
          <w:rFonts w:ascii="Book Antiqua" w:hAnsi="Book Antiqua"/>
          <w:lang w:val="fr-BE"/>
        </w:rPr>
      </w:pPr>
      <w:r>
        <w:rPr>
          <w:rFonts w:ascii="Book Antiqua" w:hAnsi="Book Antiqua"/>
          <w:lang w:val="fr-BE"/>
        </w:rPr>
        <w:fldChar w:fldCharType="begin"/>
      </w:r>
      <w:r>
        <w:rPr>
          <w:rFonts w:ascii="Book Antiqua" w:hAnsi="Book Antiqua"/>
          <w:lang w:val="fr-BE"/>
        </w:rPr>
        <w:instrText xml:space="preserve"> HYPERLINK "https://www.enseignement.cfwb.be/DEROGATION%20WEB/sanctions%20etudes" </w:instrText>
      </w:r>
      <w:r>
        <w:rPr>
          <w:rFonts w:ascii="Book Antiqua" w:hAnsi="Book Antiqua"/>
          <w:lang w:val="fr-BE"/>
        </w:rPr>
        <w:fldChar w:fldCharType="separate"/>
      </w:r>
      <w:r>
        <w:rPr>
          <w:rStyle w:val="Lienhypertexte"/>
          <w:rFonts w:ascii="Book Antiqua" w:hAnsi="Book Antiqua"/>
          <w:lang w:val="fr-BE"/>
        </w:rPr>
        <w:t>https://www.enseignement.cfwb.be/DEROGATION WEB/sanctions études</w:t>
      </w:r>
    </w:p>
    <w:p>
      <w:pPr>
        <w:numPr>
          <w:ilvl w:val="0"/>
          <w:numId w:val="45"/>
        </w:numPr>
        <w:tabs>
          <w:tab w:val="clear" w:pos="1778"/>
          <w:tab w:val="left" w:pos="-1440"/>
          <w:tab w:val="left" w:pos="-720"/>
          <w:tab w:val="left" w:pos="993"/>
        </w:tabs>
        <w:spacing w:before="120" w:after="120"/>
        <w:ind w:firstLine="207"/>
        <w:jc w:val="both"/>
        <w:rPr>
          <w:rFonts w:ascii="Book Antiqua" w:hAnsi="Book Antiqua" w:cs="Book Antiqua"/>
          <w:color w:val="000000"/>
          <w:spacing w:val="-4"/>
        </w:rPr>
      </w:pPr>
      <w:r>
        <w:rPr>
          <w:rFonts w:ascii="Book Antiqua" w:hAnsi="Book Antiqua"/>
          <w:lang w:val="fr-BE"/>
        </w:rPr>
        <w:fldChar w:fldCharType="end"/>
      </w: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52"/>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une convention emploi formation ;</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268" w:firstLine="0"/>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lastRenderedPageBreak/>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53"/>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3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tabs>
          <w:tab w:val="left" w:pos="-1440"/>
          <w:tab w:val="left" w:pos="-720"/>
          <w:tab w:val="left" w:pos="2572"/>
        </w:tabs>
        <w:spacing w:after="240"/>
        <w:jc w:val="both"/>
        <w:rPr>
          <w:rFonts w:ascii="Book Antiqua" w:hAnsi="Book Antiqua" w:cs="Book Antiqua"/>
          <w:color w:val="000000"/>
          <w:spacing w:val="-4"/>
        </w:rPr>
      </w:pPr>
    </w:p>
    <w:p>
      <w:pPr>
        <w:numPr>
          <w:ilvl w:val="0"/>
          <w:numId w:val="43"/>
        </w:numPr>
        <w:tabs>
          <w:tab w:val="clear" w:pos="1778"/>
          <w:tab w:val="left" w:pos="-1440"/>
          <w:tab w:val="left" w:pos="-720"/>
          <w:tab w:val="num" w:pos="2268"/>
        </w:tabs>
        <w:spacing w:before="120" w:after="120"/>
        <w:ind w:left="2268" w:hanging="283"/>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54"/>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268" w:firstLine="0"/>
        <w:jc w:val="both"/>
        <w:rPr>
          <w:rFonts w:ascii="Book Antiqua" w:hAnsi="Book Antiqua" w:cs="Book Antiqua"/>
          <w:color w:val="000000"/>
          <w:spacing w:val="-4"/>
        </w:rPr>
      </w:pPr>
      <w:r>
        <w:rPr>
          <w:rFonts w:ascii="Book Antiqua" w:hAnsi="Book Antiqua" w:cs="Book Antiqua"/>
          <w:color w:val="000000"/>
          <w:spacing w:val="-4"/>
        </w:rPr>
        <w:t>soit un contrat d’alternance</w:t>
      </w:r>
    </w:p>
    <w:p>
      <w:pPr>
        <w:numPr>
          <w:ilvl w:val="0"/>
          <w:numId w:val="25"/>
        </w:numPr>
        <w:tabs>
          <w:tab w:val="clear" w:pos="360"/>
          <w:tab w:val="left" w:pos="-1440"/>
          <w:tab w:val="left" w:pos="-720"/>
          <w:tab w:val="num" w:pos="1069"/>
          <w:tab w:val="left" w:pos="2572"/>
        </w:tabs>
        <w:ind w:left="2268" w:firstLine="0"/>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268" w:firstLine="0"/>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240" w:after="120"/>
        <w:ind w:left="2405"/>
        <w:rPr>
          <w:u w:val="single"/>
        </w:rPr>
      </w:pPr>
      <w:r>
        <w:rPr>
          <w:u w:val="single"/>
        </w:rPr>
        <w:lastRenderedPageBreak/>
        <w:t>en 4</w:t>
      </w:r>
      <w:r>
        <w:rPr>
          <w:u w:val="single"/>
          <w:vertAlign w:val="superscript"/>
        </w:rPr>
        <w:t>ème</w:t>
      </w:r>
      <w:r>
        <w:rPr>
          <w:u w:val="single"/>
        </w:rPr>
        <w:t xml:space="preserve"> année P :</w:t>
      </w:r>
    </w:p>
    <w:p>
      <w:pPr>
        <w:tabs>
          <w:tab w:val="left" w:pos="-1440"/>
          <w:tab w:val="left" w:pos="-720"/>
          <w:tab w:val="left" w:pos="4820"/>
        </w:tabs>
        <w:spacing w:before="240" w:after="120"/>
        <w:ind w:left="1843"/>
        <w:jc w:val="both"/>
        <w:rPr>
          <w:rFonts w:ascii="Book Antiqua" w:hAnsi="Book Antiqua" w:cs="Book Antiqua"/>
          <w:color w:val="000000"/>
          <w:spacing w:val="-4"/>
        </w:rPr>
      </w:pPr>
      <w:r>
        <w:rPr>
          <w:rFonts w:ascii="Book Antiqua" w:hAnsi="Book Antiqua" w:cs="Book Antiqua"/>
          <w:color w:val="000000"/>
          <w:spacing w:val="-4"/>
        </w:rPr>
        <w:t>Sans préjudice des dispositions nécessitant l’avis favorable du conseil d’admission (article 19 de l’arrêté royal du 29 juin 1984), peuvent être admis comme élèves réguliers en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organisée </w:t>
      </w:r>
      <w:r>
        <w:rPr>
          <w:rFonts w:ascii="Book Antiqua" w:hAnsi="Book Antiqua" w:cs="Book Antiqua"/>
          <w:b/>
          <w:color w:val="000000"/>
          <w:spacing w:val="-4"/>
        </w:rPr>
        <w:t>au 2</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degré de l’enseignement secondaire professionnel </w:t>
      </w:r>
      <w:r>
        <w:rPr>
          <w:rFonts w:ascii="Book Antiqua" w:hAnsi="Book Antiqua" w:cs="Book Antiqua"/>
          <w:color w:val="000000"/>
          <w:spacing w:val="-4"/>
        </w:rPr>
        <w:t>:</w:t>
      </w:r>
      <w:r>
        <w:rPr>
          <w:rFonts w:ascii="Book Antiqua" w:hAnsi="Book Antiqua" w:cs="Book Antiqua"/>
          <w:b/>
          <w:color w:val="000000"/>
          <w:spacing w:val="-4"/>
        </w:rPr>
        <w:t xml:space="preserve"> </w:t>
      </w:r>
      <w:r>
        <w:rPr>
          <w:rStyle w:val="Caractresdenotedebasdepage"/>
          <w:rFonts w:ascii="Book Antiqua" w:hAnsi="Book Antiqua" w:cs="Book Antiqua"/>
          <w:color w:val="000000"/>
          <w:spacing w:val="-4"/>
        </w:rPr>
        <w:footnoteReference w:id="55"/>
      </w:r>
    </w:p>
    <w:p>
      <w:pPr>
        <w:numPr>
          <w:ilvl w:val="0"/>
          <w:numId w:val="22"/>
        </w:numPr>
        <w:tabs>
          <w:tab w:val="clear" w:pos="360"/>
          <w:tab w:val="left" w:pos="-1440"/>
          <w:tab w:val="left" w:pos="-720"/>
          <w:tab w:val="num" w:pos="1069"/>
          <w:tab w:val="left" w:pos="1559"/>
        </w:tabs>
        <w:ind w:left="2268" w:hanging="425"/>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soit la 3</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de plein exercice, soit la troisième année de l’enseignement secondaire professionnel en alternance visé à l’article 2bis, §1</w:t>
      </w:r>
      <w:r>
        <w:rPr>
          <w:rFonts w:ascii="Book Antiqua" w:hAnsi="Book Antiqua" w:cs="Book Antiqua"/>
          <w:color w:val="000000"/>
          <w:spacing w:val="-4"/>
          <w:vertAlign w:val="superscript"/>
        </w:rPr>
        <w:t>er</w:t>
      </w:r>
      <w:r>
        <w:rPr>
          <w:rFonts w:ascii="Book Antiqua" w:hAnsi="Book Antiqua" w:cs="Book Antiqua"/>
          <w:color w:val="000000"/>
          <w:spacing w:val="-4"/>
        </w:rPr>
        <w:t>, 1° (formation « article 49 ») ;</w:t>
      </w:r>
    </w:p>
    <w:p>
      <w:pPr>
        <w:numPr>
          <w:ilvl w:val="0"/>
          <w:numId w:val="9"/>
        </w:numPr>
        <w:tabs>
          <w:tab w:val="clear" w:pos="360"/>
          <w:tab w:val="left" w:pos="-1440"/>
          <w:tab w:val="left" w:pos="-720"/>
          <w:tab w:val="num" w:pos="1069"/>
          <w:tab w:val="left" w:pos="1559"/>
        </w:tabs>
        <w:ind w:left="2268" w:hanging="425"/>
        <w:jc w:val="both"/>
        <w:rPr>
          <w:rFonts w:ascii="Book Antiqua" w:hAnsi="Book Antiqua" w:cs="Book Antiqua"/>
          <w:color w:val="000000"/>
          <w:spacing w:val="-4"/>
        </w:rPr>
      </w:pPr>
      <w:r>
        <w:rPr>
          <w:rFonts w:ascii="Book Antiqua" w:hAnsi="Book Antiqua" w:cs="Book Antiqua"/>
          <w:color w:val="000000"/>
          <w:spacing w:val="-4"/>
        </w:rPr>
        <w:t>les titulaires d’une attestation de réinsertion dans l’enseignement secondaire ordinaire de plein exercice délivrée par un CEFA après la fréquentation d’une année scolaire au moins dans l’enseignement en alternance visé aux articles 2</w:t>
      </w:r>
      <w:r>
        <w:rPr>
          <w:rFonts w:ascii="Book Antiqua" w:hAnsi="Book Antiqua" w:cs="Book Antiqua"/>
          <w:i/>
          <w:color w:val="000000"/>
          <w:spacing w:val="-4"/>
        </w:rPr>
        <w:t>bis</w:t>
      </w:r>
      <w:r>
        <w:rPr>
          <w:rFonts w:ascii="Book Antiqua" w:hAnsi="Book Antiqua" w:cs="Book Antiqua"/>
          <w:color w:val="000000"/>
          <w:spacing w:val="-4"/>
        </w:rPr>
        <w:t>, § 1</w:t>
      </w:r>
      <w:r>
        <w:rPr>
          <w:rFonts w:ascii="Book Antiqua" w:hAnsi="Book Antiqua" w:cs="Book Antiqua"/>
          <w:color w:val="000000"/>
          <w:spacing w:val="-4"/>
          <w:vertAlign w:val="superscript"/>
        </w:rPr>
        <w:t>er</w:t>
      </w:r>
      <w:r>
        <w:rPr>
          <w:rFonts w:ascii="Book Antiqua" w:hAnsi="Book Antiqua" w:cs="Book Antiqua"/>
          <w:color w:val="000000"/>
          <w:spacing w:val="-4"/>
        </w:rPr>
        <w:t>, 2° (formation « article 45 »), et les jugeant aptes à poursuivre normalement leurs études en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professionnel ;</w:t>
      </w:r>
    </w:p>
    <w:p>
      <w:pPr>
        <w:pBdr>
          <w:top w:val="single" w:sz="4" w:space="1" w:color="000000"/>
          <w:left w:val="single" w:sz="4" w:space="4" w:color="000000"/>
          <w:bottom w:val="single" w:sz="4" w:space="1" w:color="000000"/>
          <w:right w:val="single" w:sz="4" w:space="4" w:color="000000"/>
        </w:pBdr>
        <w:tabs>
          <w:tab w:val="left" w:pos="-1440"/>
          <w:tab w:val="left" w:pos="-720"/>
          <w:tab w:val="left" w:pos="1134"/>
        </w:tabs>
        <w:spacing w:before="240" w:after="240"/>
        <w:ind w:left="2268"/>
        <w:jc w:val="both"/>
        <w:rPr>
          <w:rFonts w:ascii="Book Antiqua" w:hAnsi="Book Antiqua" w:cs="Book Antiqua"/>
          <w:color w:val="000000"/>
          <w:spacing w:val="-4"/>
        </w:rPr>
      </w:pPr>
      <w:r>
        <w:rPr>
          <w:rFonts w:ascii="Book Antiqua" w:hAnsi="Book Antiqua" w:cs="Book Antiqua"/>
          <w:color w:val="000000"/>
          <w:spacing w:val="-4"/>
        </w:rPr>
        <w:t>N.B. Il est ainsi possible, via cette attestation de réinsertion et dans les conditions énoncées, de passer d’une formation « article 45 » à un enseignement en alternance « article 49 » ou de plein exercice.</w:t>
      </w:r>
    </w:p>
    <w:p>
      <w:pPr>
        <w:tabs>
          <w:tab w:val="left" w:pos="-1440"/>
          <w:tab w:val="left" w:pos="-720"/>
          <w:tab w:val="left" w:pos="1134"/>
        </w:tabs>
        <w:ind w:left="2268"/>
        <w:jc w:val="both"/>
        <w:rPr>
          <w:rFonts w:ascii="Book Antiqua" w:hAnsi="Book Antiqua" w:cs="Book Antiqua"/>
          <w:color w:val="000000"/>
          <w:spacing w:val="-4"/>
        </w:rPr>
      </w:pPr>
      <w:r>
        <w:rPr>
          <w:rFonts w:ascii="Book Antiqua" w:hAnsi="Book Antiqua" w:cs="Book Antiqua"/>
          <w:color w:val="000000"/>
          <w:spacing w:val="-4"/>
        </w:rPr>
        <w:t>Une telle attestation ne doit cependant être délivrée par le Conseil de classe, et sous sa responsabilité, qu’après un examen attentif du dossier pédagogique de l’élève.</w:t>
      </w:r>
    </w:p>
    <w:p>
      <w:pPr>
        <w:numPr>
          <w:ilvl w:val="0"/>
          <w:numId w:val="22"/>
        </w:numPr>
        <w:tabs>
          <w:tab w:val="clear" w:pos="360"/>
          <w:tab w:val="left" w:pos="-1440"/>
          <w:tab w:val="left" w:pos="-720"/>
          <w:tab w:val="num" w:pos="1069"/>
          <w:tab w:val="left" w:pos="1559"/>
          <w:tab w:val="left" w:pos="2268"/>
        </w:tabs>
        <w:spacing w:after="240"/>
        <w:ind w:left="2268" w:hanging="425"/>
        <w:jc w:val="both"/>
        <w:rPr>
          <w:rFonts w:ascii="Book Antiqua" w:hAnsi="Book Antiqua" w:cs="Book Antiqua"/>
          <w:color w:val="000000"/>
          <w:spacing w:val="-4"/>
        </w:rPr>
      </w:pPr>
      <w:r>
        <w:rPr>
          <w:rFonts w:ascii="Book Antiqua" w:hAnsi="Book Antiqua" w:cs="Book Antiqua"/>
          <w:color w:val="000000"/>
          <w:spacing w:val="-4"/>
        </w:rPr>
        <w:t>les élèves qui ont terminé, dans la même forme d’enseignement et dans la même orientation d’études, une troisième année au sein d’un établissement d’enseignement secondaire autorisé par le Ministre à ne pas délivrer d’attestation au terme de la 3</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professionnel.</w:t>
      </w:r>
    </w:p>
    <w:p>
      <w:pPr>
        <w:numPr>
          <w:ilvl w:val="0"/>
          <w:numId w:val="22"/>
        </w:numPr>
        <w:tabs>
          <w:tab w:val="clear" w:pos="360"/>
          <w:tab w:val="left" w:pos="-1440"/>
          <w:tab w:val="left" w:pos="-720"/>
          <w:tab w:val="num" w:pos="1069"/>
          <w:tab w:val="left" w:pos="1559"/>
          <w:tab w:val="left" w:pos="2268"/>
        </w:tabs>
        <w:spacing w:after="240"/>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inférieur délivré par le jury d’Etat ou par les jurys de la Fédération Wallonie-Bruxelles, de la Communauté flamande ou de la Communauté germanophone ;</w:t>
      </w:r>
    </w:p>
    <w:p>
      <w:pPr>
        <w:numPr>
          <w:ilvl w:val="0"/>
          <w:numId w:val="22"/>
        </w:numPr>
        <w:tabs>
          <w:tab w:val="clear" w:pos="360"/>
          <w:tab w:val="left" w:pos="-1440"/>
          <w:tab w:val="left" w:pos="-720"/>
          <w:tab w:val="num" w:pos="1069"/>
          <w:tab w:val="left" w:pos="1559"/>
          <w:tab w:val="left" w:pos="2268"/>
        </w:tabs>
        <w:spacing w:after="240"/>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du deuxième degré, enseignement professionnel, délivré par le jury de la Fédération Wallonie-Bruxelles pour autant qu’ils changent d’orientation d’études ;</w:t>
      </w:r>
    </w:p>
    <w:p>
      <w:pPr>
        <w:tabs>
          <w:tab w:val="left" w:pos="-1440"/>
          <w:tab w:val="left" w:pos="-720"/>
          <w:tab w:val="left" w:pos="4820"/>
        </w:tabs>
        <w:spacing w:after="240"/>
        <w:ind w:left="1418"/>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 :</w:t>
      </w:r>
    </w:p>
    <w:p>
      <w:pPr>
        <w:numPr>
          <w:ilvl w:val="0"/>
          <w:numId w:val="3"/>
        </w:numPr>
        <w:tabs>
          <w:tab w:val="clear" w:pos="360"/>
          <w:tab w:val="left" w:pos="-1440"/>
          <w:tab w:val="left" w:pos="-720"/>
          <w:tab w:val="left" w:pos="993"/>
          <w:tab w:val="num" w:pos="1069"/>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56"/>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57"/>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lastRenderedPageBreak/>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58"/>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tabs>
          <w:tab w:val="left" w:pos="-1440"/>
          <w:tab w:val="left" w:pos="-720"/>
          <w:tab w:val="left" w:pos="1583"/>
        </w:tabs>
        <w:ind w:left="709"/>
        <w:jc w:val="both"/>
        <w:rPr>
          <w:rFonts w:ascii="Book Antiqua" w:hAnsi="Book Antiqua" w:cs="Book Antiqua"/>
          <w:color w:val="000000"/>
          <w:spacing w:val="-4"/>
        </w:rPr>
      </w:pP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pPr>
      <w:r>
        <w:lastRenderedPageBreak/>
        <w:t>en 5</w:t>
      </w:r>
      <w:r>
        <w:rPr>
          <w:vertAlign w:val="superscript"/>
        </w:rPr>
        <w:t>ème</w:t>
      </w:r>
      <w:r>
        <w:t xml:space="preserve"> année P :</w:t>
      </w:r>
    </w:p>
    <w:p>
      <w:pPr>
        <w:tabs>
          <w:tab w:val="left" w:pos="-1440"/>
          <w:tab w:val="left" w:pos="-720"/>
          <w:tab w:val="left" w:pos="4820"/>
        </w:tabs>
        <w:spacing w:after="120"/>
        <w:ind w:left="1843"/>
        <w:jc w:val="both"/>
        <w:rPr>
          <w:rFonts w:ascii="Book Antiqua" w:hAnsi="Book Antiqua" w:cs="Book Antiqua"/>
          <w:b/>
          <w:color w:val="000000"/>
          <w:spacing w:val="-4"/>
        </w:rPr>
      </w:pPr>
      <w:r>
        <w:rPr>
          <w:rFonts w:ascii="Book Antiqua" w:hAnsi="Book Antiqua" w:cs="Book Antiqua"/>
          <w:color w:val="000000"/>
          <w:spacing w:val="-4"/>
        </w:rPr>
        <w:t>Sans préjudice des dispositions nécessitant l’avis favorable du conseil d’admission</w:t>
      </w:r>
      <w:r>
        <w:rPr>
          <w:rStyle w:val="Caractresdenotedebasdepage"/>
          <w:rFonts w:ascii="Book Antiqua" w:hAnsi="Book Antiqua" w:cs="Book Antiqua"/>
          <w:color w:val="000000"/>
          <w:spacing w:val="-4"/>
        </w:rPr>
        <w:footnoteReference w:id="59"/>
      </w:r>
      <w:r>
        <w:rPr>
          <w:rFonts w:ascii="Book Antiqua" w:hAnsi="Book Antiqua" w:cs="Book Antiqua"/>
          <w:color w:val="000000"/>
          <w:spacing w:val="-4"/>
        </w:rPr>
        <w:t xml:space="preserve">, peuvent être admis comme élèves réguliers en </w:t>
      </w:r>
      <w:r>
        <w:rPr>
          <w:rFonts w:ascii="Book Antiqua" w:hAnsi="Book Antiqua" w:cs="Book Antiqua"/>
          <w:b/>
          <w:color w:val="000000"/>
          <w:spacing w:val="-4"/>
        </w:rPr>
        <w:t>5</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année</w:t>
      </w:r>
      <w:r>
        <w:rPr>
          <w:rFonts w:ascii="Book Antiqua" w:hAnsi="Book Antiqua" w:cs="Book Antiqua"/>
          <w:color w:val="000000"/>
          <w:spacing w:val="-4"/>
        </w:rPr>
        <w:t xml:space="preserve"> organisée au </w:t>
      </w:r>
      <w:r>
        <w:rPr>
          <w:rFonts w:ascii="Book Antiqua" w:hAnsi="Book Antiqua" w:cs="Book Antiqua"/>
          <w:b/>
          <w:color w:val="000000"/>
          <w:spacing w:val="-4"/>
        </w:rPr>
        <w:t>troisième degré de l’enseignement secondaire professionnel</w:t>
      </w:r>
      <w:r>
        <w:rPr>
          <w:rStyle w:val="Caractresdenotedebasdepage"/>
          <w:rFonts w:ascii="Book Antiqua" w:hAnsi="Book Antiqua" w:cs="Book Antiqua"/>
          <w:color w:val="000000"/>
          <w:spacing w:val="-4"/>
        </w:rPr>
        <w:footnoteReference w:id="60"/>
      </w:r>
      <w:r>
        <w:rPr>
          <w:rFonts w:ascii="Book Antiqua" w:hAnsi="Book Antiqua" w:cs="Book Antiqua"/>
          <w:b/>
          <w:color w:val="000000"/>
          <w:spacing w:val="-4"/>
        </w:rPr>
        <w:t> </w:t>
      </w:r>
      <w:r>
        <w:rPr>
          <w:rFonts w:ascii="Book Antiqua" w:hAnsi="Book Antiqua" w:cs="Book Antiqua"/>
          <w:color w:val="000000"/>
          <w:spacing w:val="-4"/>
        </w:rPr>
        <w:t>:</w:t>
      </w:r>
      <w:r>
        <w:rPr>
          <w:rFonts w:ascii="Book Antiqua" w:hAnsi="Book Antiqua" w:cs="Book Antiqua"/>
          <w:b/>
          <w:color w:val="000000"/>
          <w:spacing w:val="-4"/>
        </w:rPr>
        <w:t xml:space="preserve"> </w:t>
      </w:r>
    </w:p>
    <w:p>
      <w:pPr>
        <w:numPr>
          <w:ilvl w:val="0"/>
          <w:numId w:val="9"/>
        </w:numPr>
        <w:tabs>
          <w:tab w:val="clear" w:pos="360"/>
          <w:tab w:val="left" w:pos="-1440"/>
          <w:tab w:val="left" w:pos="-720"/>
          <w:tab w:val="num" w:pos="106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de plein exercice ou de l’enseignement secondaire professionnel en alternance visé à l’article 2bis,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1° (formation « article 49 ») ; </w:t>
      </w:r>
    </w:p>
    <w:p>
      <w:pPr>
        <w:numPr>
          <w:ilvl w:val="0"/>
          <w:numId w:val="9"/>
        </w:numPr>
        <w:tabs>
          <w:tab w:val="clear" w:pos="360"/>
          <w:tab w:val="left" w:pos="-1440"/>
          <w:tab w:val="left" w:pos="-720"/>
          <w:tab w:val="num" w:pos="106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élèves qui ont terminé avec fruit le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de l’enseignement professionnel ;</w:t>
      </w:r>
    </w:p>
    <w:p>
      <w:pPr>
        <w:numPr>
          <w:ilvl w:val="0"/>
          <w:numId w:val="9"/>
        </w:numPr>
        <w:tabs>
          <w:tab w:val="clear" w:pos="360"/>
          <w:tab w:val="left" w:pos="-1440"/>
          <w:tab w:val="left" w:pos="-720"/>
          <w:tab w:val="num" w:pos="1069"/>
        </w:tabs>
        <w:ind w:left="2268" w:hanging="425"/>
        <w:jc w:val="both"/>
        <w:rPr>
          <w:rFonts w:ascii="Book Antiqua" w:hAnsi="Book Antiqua" w:cs="Book Antiqua"/>
          <w:color w:val="000000"/>
          <w:spacing w:val="-4"/>
        </w:rPr>
      </w:pPr>
      <w:r>
        <w:rPr>
          <w:rFonts w:ascii="Book Antiqua" w:hAnsi="Book Antiqua" w:cs="Book Antiqua"/>
          <w:color w:val="000000"/>
          <w:spacing w:val="-4"/>
        </w:rPr>
        <w:t>les titulaires d’une attestation de réinsertion dans l’enseignement secondaire ordinaire de plein exercice délivrée par un CEFA après une fréquentation d’une année scolaire au moins dans l’enseignement secondaire en alternance visé aux articles 2bis, § 1</w:t>
      </w:r>
      <w:r>
        <w:rPr>
          <w:rFonts w:ascii="Book Antiqua" w:hAnsi="Book Antiqua" w:cs="Book Antiqua"/>
          <w:color w:val="000000"/>
          <w:spacing w:val="-4"/>
          <w:vertAlign w:val="superscript"/>
        </w:rPr>
        <w:t>er</w:t>
      </w:r>
      <w:r>
        <w:rPr>
          <w:rFonts w:ascii="Book Antiqua" w:hAnsi="Book Antiqua" w:cs="Book Antiqua"/>
          <w:color w:val="000000"/>
          <w:spacing w:val="-4"/>
        </w:rPr>
        <w:t>, 2° (formation « article 45 »), et les jugeant aptes à poursuivre normalement leurs études en cinquième année de l’enseignement professionnel ;</w:t>
      </w:r>
    </w:p>
    <w:p>
      <w:pPr>
        <w:pBdr>
          <w:top w:val="single" w:sz="4" w:space="1" w:color="000000"/>
          <w:left w:val="single" w:sz="4" w:space="4" w:color="000000"/>
          <w:bottom w:val="single" w:sz="4" w:space="1" w:color="000000"/>
          <w:right w:val="single" w:sz="4" w:space="4" w:color="000000"/>
        </w:pBdr>
        <w:tabs>
          <w:tab w:val="left" w:pos="-1440"/>
          <w:tab w:val="left" w:pos="-720"/>
          <w:tab w:val="left" w:pos="1134"/>
        </w:tabs>
        <w:spacing w:before="240" w:after="240"/>
        <w:ind w:left="2268"/>
        <w:jc w:val="both"/>
        <w:rPr>
          <w:rFonts w:ascii="Book Antiqua" w:hAnsi="Book Antiqua" w:cs="Book Antiqua"/>
          <w:color w:val="000000"/>
          <w:spacing w:val="-4"/>
        </w:rPr>
      </w:pPr>
      <w:r>
        <w:rPr>
          <w:rFonts w:ascii="Book Antiqua" w:hAnsi="Book Antiqua" w:cs="Book Antiqua"/>
          <w:color w:val="000000"/>
          <w:spacing w:val="-4"/>
        </w:rPr>
        <w:t>N.B. Il est ainsi possible, via cette attestation de réinsertion et dans les conditions énoncées, de passer d’une formation « article 45 » à un enseignement en alternance « article 49 » ou de plein exercice.</w:t>
      </w:r>
    </w:p>
    <w:p>
      <w:pPr>
        <w:tabs>
          <w:tab w:val="left" w:pos="-1440"/>
          <w:tab w:val="left" w:pos="-720"/>
          <w:tab w:val="left" w:pos="1134"/>
        </w:tabs>
        <w:spacing w:after="240"/>
        <w:ind w:left="2268"/>
        <w:jc w:val="both"/>
        <w:rPr>
          <w:rFonts w:ascii="Book Antiqua" w:hAnsi="Book Antiqua" w:cs="Book Antiqua"/>
          <w:color w:val="000000"/>
          <w:spacing w:val="-4"/>
        </w:rPr>
      </w:pPr>
      <w:r>
        <w:rPr>
          <w:rFonts w:ascii="Book Antiqua" w:hAnsi="Book Antiqua" w:cs="Book Antiqua"/>
          <w:color w:val="000000"/>
          <w:spacing w:val="-4"/>
        </w:rPr>
        <w:t>Une telle attestation ne doit cependant être délivrée par le Conseil de classe et sous sa responsabilité, qu’après un examen attentif du dossier pédagogique de l’élève.</w:t>
      </w:r>
    </w:p>
    <w:p>
      <w:pPr>
        <w:numPr>
          <w:ilvl w:val="0"/>
          <w:numId w:val="23"/>
        </w:numPr>
        <w:tabs>
          <w:tab w:val="clear" w:pos="360"/>
          <w:tab w:val="left" w:pos="-1440"/>
          <w:tab w:val="left" w:pos="-720"/>
          <w:tab w:val="num" w:pos="1069"/>
          <w:tab w:val="left" w:pos="1134"/>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enseignement général, technique, artistique ou professionnel délivré par le jury de la </w:t>
      </w:r>
      <w:r>
        <w:rPr>
          <w:rFonts w:ascii="Book Antiqua" w:hAnsi="Book Antiqua" w:cs="Book Antiqua"/>
          <w:color w:val="000000"/>
        </w:rPr>
        <w:t>Fédération Wallonie-Bruxelles</w:t>
      </w:r>
      <w:r>
        <w:rPr>
          <w:rFonts w:ascii="Book Antiqua" w:hAnsi="Book Antiqua" w:cs="Book Antiqua"/>
          <w:color w:val="000000"/>
          <w:spacing w:val="-4"/>
        </w:rPr>
        <w:t> ;</w:t>
      </w:r>
    </w:p>
    <w:p>
      <w:pPr>
        <w:numPr>
          <w:ilvl w:val="0"/>
          <w:numId w:val="23"/>
        </w:numPr>
        <w:tabs>
          <w:tab w:val="clear" w:pos="360"/>
          <w:tab w:val="left" w:pos="-1440"/>
          <w:tab w:val="left" w:pos="-720"/>
          <w:tab w:val="num" w:pos="1069"/>
          <w:tab w:val="left" w:pos="1134"/>
          <w:tab w:val="left" w:pos="1559"/>
        </w:tabs>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inférieur, enseignement professionnel, délivré par le jury d’Etat ou par les jurys de la</w:t>
      </w:r>
      <w:r>
        <w:rPr>
          <w:rFonts w:ascii="Book Antiqua" w:hAnsi="Book Antiqua" w:cs="Book Antiqua"/>
          <w:color w:val="000000"/>
        </w:rPr>
        <w:t xml:space="preserve"> Fédération Wallonie-Bruxelles</w:t>
      </w:r>
      <w:r>
        <w:rPr>
          <w:rFonts w:ascii="Book Antiqua" w:hAnsi="Book Antiqua" w:cs="Book Antiqua"/>
          <w:color w:val="000000"/>
          <w:spacing w:val="-4"/>
        </w:rPr>
        <w:t>, de la Communauté flamande ou de la Communauté germanophone.</w:t>
      </w:r>
    </w:p>
    <w:p>
      <w:pPr>
        <w:tabs>
          <w:tab w:val="left" w:pos="-1440"/>
          <w:tab w:val="left" w:pos="-720"/>
        </w:tabs>
        <w:spacing w:before="240" w:after="240"/>
        <w:ind w:left="1418"/>
        <w:jc w:val="both"/>
        <w:rPr>
          <w:rFonts w:ascii="Book Antiqua" w:hAnsi="Book Antiqua" w:cs="Book Antiqua"/>
          <w:color w:val="000000"/>
          <w:spacing w:val="-4"/>
        </w:rPr>
      </w:pPr>
    </w:p>
    <w:p>
      <w:pPr>
        <w:tabs>
          <w:tab w:val="left" w:pos="-1440"/>
          <w:tab w:val="left" w:pos="-720"/>
        </w:tabs>
        <w:spacing w:before="240" w:after="240"/>
        <w:ind w:left="1418"/>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 :</w:t>
      </w:r>
    </w:p>
    <w:p>
      <w:pPr>
        <w:numPr>
          <w:ilvl w:val="0"/>
          <w:numId w:val="3"/>
        </w:numPr>
        <w:tabs>
          <w:tab w:val="clear" w:pos="360"/>
          <w:tab w:val="left" w:pos="-1440"/>
          <w:tab w:val="left" w:pos="-720"/>
          <w:tab w:val="left" w:pos="993"/>
          <w:tab w:val="num" w:pos="1069"/>
          <w:tab w:val="left" w:pos="1780"/>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61"/>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127"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br w:type="page"/>
      </w:r>
      <w:r>
        <w:rPr>
          <w:rFonts w:ascii="Book Antiqua" w:hAnsi="Book Antiqua" w:cs="Book Antiqua"/>
          <w:color w:val="000000"/>
          <w:spacing w:val="-4"/>
        </w:rPr>
        <w:lastRenderedPageBreak/>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62"/>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3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tabs>
          <w:tab w:val="left" w:pos="-1440"/>
          <w:tab w:val="left" w:pos="-720"/>
          <w:tab w:val="left" w:pos="2572"/>
        </w:tabs>
        <w:spacing w:after="240"/>
        <w:ind w:left="2127"/>
        <w:jc w:val="both"/>
        <w:rPr>
          <w:rFonts w:ascii="Book Antiqua" w:hAnsi="Book Antiqua" w:cs="Book Antiqua"/>
          <w:color w:val="000000"/>
          <w:spacing w:val="-4"/>
        </w:rPr>
      </w:pP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63"/>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toute autre forme de contrat ou de convention reconnue par la législation du travail et s’inscrivant dans le cadre d’une formation en alternance qui aura reçu l’approbation du Gouvernement de</w:t>
      </w:r>
      <w:r>
        <w:rPr>
          <w:rFonts w:ascii="Book Antiqua" w:hAnsi="Book Antiqua" w:cs="Book Antiqua"/>
          <w:color w:val="000000"/>
        </w:rPr>
        <w:t xml:space="preserve"> la Fédération Wallonie-Bruxelles</w:t>
      </w:r>
      <w:r>
        <w:rPr>
          <w:rFonts w:ascii="Book Antiqua" w:hAnsi="Book Antiqua" w:cs="Book Antiqua"/>
          <w:color w:val="000000"/>
          <w:spacing w:val="-4"/>
        </w:rPr>
        <w:t xml:space="preserve">. </w:t>
      </w:r>
    </w:p>
    <w:p>
      <w:pPr>
        <w:tabs>
          <w:tab w:val="left" w:pos="-1440"/>
          <w:tab w:val="left" w:pos="-720"/>
          <w:tab w:val="left" w:pos="1583"/>
        </w:tabs>
        <w:ind w:left="709"/>
        <w:jc w:val="both"/>
        <w:rPr>
          <w:rFonts w:ascii="Book Antiqua" w:hAnsi="Book Antiqua" w:cs="Book Antiqua"/>
          <w:color w:val="000000"/>
          <w:spacing w:val="-4"/>
        </w:rPr>
      </w:pPr>
    </w:p>
    <w:p>
      <w:pPr>
        <w:pStyle w:val="Corpsdetext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rPr>
          <w:u w:val="single"/>
        </w:rPr>
      </w:pPr>
      <w:r>
        <w:rPr>
          <w:u w:val="single"/>
        </w:rPr>
        <w:br w:type="page"/>
      </w:r>
      <w:r>
        <w:rPr>
          <w:u w:val="single"/>
        </w:rPr>
        <w:lastRenderedPageBreak/>
        <w:t>en 6</w:t>
      </w:r>
      <w:r>
        <w:rPr>
          <w:u w:val="single"/>
          <w:vertAlign w:val="superscript"/>
        </w:rPr>
        <w:t>ème</w:t>
      </w:r>
      <w:r>
        <w:rPr>
          <w:u w:val="single"/>
        </w:rPr>
        <w:t xml:space="preserve"> année P</w:t>
      </w:r>
      <w:r>
        <w:rPr>
          <w:rStyle w:val="Appelnotedebasdep"/>
          <w:u w:val="single"/>
        </w:rPr>
        <w:footnoteReference w:id="64"/>
      </w:r>
      <w:r>
        <w:rPr>
          <w:u w:val="single"/>
        </w:rPr>
        <w:t> :</w:t>
      </w:r>
    </w:p>
    <w:p>
      <w:pPr>
        <w:tabs>
          <w:tab w:val="left" w:pos="-1440"/>
          <w:tab w:val="left" w:pos="-720"/>
          <w:tab w:val="left" w:pos="4820"/>
        </w:tabs>
        <w:spacing w:after="120"/>
        <w:ind w:left="1843"/>
        <w:jc w:val="both"/>
        <w:rPr>
          <w:rFonts w:ascii="Book Antiqua" w:hAnsi="Book Antiqua" w:cs="Book Antiqua"/>
          <w:color w:val="000000"/>
          <w:spacing w:val="-4"/>
        </w:rPr>
      </w:pPr>
      <w:r>
        <w:rPr>
          <w:rFonts w:ascii="Book Antiqua" w:hAnsi="Book Antiqua" w:cs="Book Antiqua"/>
          <w:color w:val="000000"/>
          <w:spacing w:val="-4"/>
        </w:rPr>
        <w:t xml:space="preserve">Peuvent être admis comme élèves réguliers en </w:t>
      </w:r>
      <w:r>
        <w:rPr>
          <w:rFonts w:ascii="Book Antiqua" w:hAnsi="Book Antiqua" w:cs="Book Antiqua"/>
          <w:b/>
          <w:color w:val="000000"/>
          <w:spacing w:val="-4"/>
        </w:rPr>
        <w:t>6</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année</w:t>
      </w:r>
      <w:r>
        <w:rPr>
          <w:rFonts w:ascii="Book Antiqua" w:hAnsi="Book Antiqua" w:cs="Book Antiqua"/>
          <w:color w:val="000000"/>
          <w:spacing w:val="-4"/>
        </w:rPr>
        <w:t xml:space="preserve"> organisée au </w:t>
      </w:r>
      <w:r>
        <w:rPr>
          <w:rFonts w:ascii="Book Antiqua" w:hAnsi="Book Antiqua" w:cs="Book Antiqua"/>
          <w:b/>
          <w:color w:val="000000"/>
          <w:spacing w:val="-4"/>
        </w:rPr>
        <w:t>troisième degré de l’enseignement secondaire professionnel </w:t>
      </w:r>
      <w:r>
        <w:rPr>
          <w:rFonts w:ascii="Book Antiqua" w:hAnsi="Book Antiqua" w:cs="Book Antiqua"/>
          <w:color w:val="000000"/>
          <w:spacing w:val="-4"/>
        </w:rPr>
        <w:t xml:space="preserve">: </w:t>
      </w:r>
      <w:r>
        <w:rPr>
          <w:rStyle w:val="Caractresdenotedebasdepage"/>
          <w:rFonts w:ascii="Book Antiqua" w:hAnsi="Book Antiqua" w:cs="Book Antiqua"/>
          <w:color w:val="000000"/>
          <w:spacing w:val="-4"/>
        </w:rPr>
        <w:footnoteReference w:id="65"/>
      </w:r>
    </w:p>
    <w:p>
      <w:pPr>
        <w:suppressAutoHyphens w:val="0"/>
        <w:ind w:left="1843"/>
        <w:jc w:val="both"/>
        <w:rPr>
          <w:rFonts w:ascii="Book Antiqua" w:hAnsi="Book Antiqua" w:cs="Book Antiqua"/>
          <w:color w:val="000000"/>
          <w:spacing w:val="-4"/>
        </w:rPr>
      </w:pPr>
      <w:r>
        <w:rPr>
          <w:rFonts w:ascii="Book Antiqua" w:hAnsi="Book Antiqua" w:cs="Book Antiqua"/>
          <w:color w:val="000000"/>
          <w:spacing w:val="-4"/>
        </w:rPr>
        <w:t>- les élèves réguliers qui ont terminé avec fruit la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professionnel, de plein exercice ou en alternance (formation « article 49 »), dans la même orientation d’études ou dans une orientation d’études correspondante ;</w:t>
      </w:r>
    </w:p>
    <w:p>
      <w:pPr>
        <w:rPr>
          <w:rFonts w:ascii="Book Antiqua" w:hAnsi="Book Antiqua" w:cs="Book Antiqua"/>
          <w:color w:val="000000"/>
          <w:spacing w:val="-4"/>
        </w:rPr>
      </w:pPr>
    </w:p>
    <w:p>
      <w:pPr>
        <w:suppressAutoHyphens w:val="0"/>
        <w:ind w:left="1843"/>
        <w:jc w:val="both"/>
        <w:rPr>
          <w:rFonts w:ascii="Book Antiqua" w:hAnsi="Book Antiqua" w:cs="Book Antiqua"/>
          <w:color w:val="000000"/>
          <w:spacing w:val="-4"/>
        </w:rPr>
      </w:pPr>
      <w:r>
        <w:rPr>
          <w:rFonts w:ascii="Book Antiqua" w:hAnsi="Book Antiqua" w:cs="Book Antiqua"/>
          <w:color w:val="000000"/>
          <w:spacing w:val="-4"/>
        </w:rPr>
        <w:t>-  les élèves réguliers qui ont terminé avec fruit dans une orientation d’études correspondante la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technique de qualification de plein exercice ou en alternance (formation « article 49 »).</w:t>
      </w:r>
    </w:p>
    <w:p>
      <w:pPr>
        <w:tabs>
          <w:tab w:val="left" w:pos="-1440"/>
          <w:tab w:val="left" w:pos="-720"/>
          <w:tab w:val="left" w:pos="1559"/>
          <w:tab w:val="left" w:pos="2268"/>
        </w:tabs>
        <w:spacing w:after="240"/>
        <w:jc w:val="both"/>
        <w:rPr>
          <w:rFonts w:ascii="Book Antiqua" w:hAnsi="Book Antiqua" w:cs="Book Antiqua"/>
          <w:spacing w:val="-4"/>
        </w:rPr>
      </w:pPr>
    </w:p>
    <w:p>
      <w:pPr>
        <w:tabs>
          <w:tab w:val="left" w:pos="-1440"/>
          <w:tab w:val="left" w:pos="-720"/>
          <w:tab w:val="left" w:pos="4820"/>
        </w:tabs>
        <w:spacing w:after="240"/>
        <w:ind w:left="1418" w:firstLine="425"/>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 :</w:t>
      </w:r>
    </w:p>
    <w:p>
      <w:pPr>
        <w:numPr>
          <w:ilvl w:val="0"/>
          <w:numId w:val="3"/>
        </w:numPr>
        <w:tabs>
          <w:tab w:val="clear" w:pos="360"/>
          <w:tab w:val="left" w:pos="-4860"/>
          <w:tab w:val="left" w:pos="-1440"/>
          <w:tab w:val="left" w:pos="-720"/>
          <w:tab w:val="left" w:pos="993"/>
          <w:tab w:val="num" w:pos="1069"/>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66"/>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67"/>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tabs>
          <w:tab w:val="left" w:pos="-1440"/>
          <w:tab w:val="left" w:pos="-720"/>
          <w:tab w:val="left" w:pos="1583"/>
        </w:tabs>
        <w:ind w:left="709"/>
        <w:jc w:val="both"/>
        <w:rPr>
          <w:rFonts w:ascii="Book Antiqua" w:hAnsi="Book Antiqua" w:cs="Book Antiqua"/>
          <w:color w:val="000000"/>
          <w:spacing w:val="-4"/>
        </w:rPr>
      </w:pP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68"/>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 xml:space="preserve">soit une convention de premier emploi de type 2 ou 3 liée à un contrat  soit toute autre forme de contrat ou de convention reconnue par la législation du travail et s’inscrivant dans le cadre d’une formation en alternance qui aura reçu l’approbation du Gouvernement de la </w:t>
      </w:r>
      <w:r>
        <w:rPr>
          <w:rFonts w:ascii="Book Antiqua" w:hAnsi="Book Antiqua" w:cs="Book Antiqua"/>
          <w:color w:val="000000"/>
        </w:rPr>
        <w:t>Fédération Wallonie-Bruxelles</w:t>
      </w:r>
      <w:r>
        <w:rPr>
          <w:rFonts w:ascii="Book Antiqua" w:hAnsi="Book Antiqua" w:cs="Book Antiqua"/>
          <w:color w:val="000000"/>
          <w:spacing w:val="-4"/>
        </w:rPr>
        <w:t xml:space="preserve">. </w:t>
      </w: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240" w:after="120"/>
        <w:ind w:left="2405"/>
        <w:rPr>
          <w:u w:val="single"/>
        </w:rPr>
      </w:pPr>
      <w:r>
        <w:rPr>
          <w:u w:val="single"/>
        </w:rPr>
        <w:lastRenderedPageBreak/>
        <w:t>en 7</w:t>
      </w:r>
      <w:r>
        <w:rPr>
          <w:u w:val="single"/>
          <w:vertAlign w:val="superscript"/>
        </w:rPr>
        <w:t>ème</w:t>
      </w:r>
      <w:r>
        <w:rPr>
          <w:u w:val="single"/>
        </w:rPr>
        <w:t xml:space="preserve"> année P</w:t>
      </w:r>
      <w:r>
        <w:rPr>
          <w:rStyle w:val="Appelnotedebasdep"/>
          <w:u w:val="single"/>
        </w:rPr>
        <w:footnoteReference w:id="69"/>
      </w:r>
      <w:r>
        <w:rPr>
          <w:u w:val="single"/>
        </w:rPr>
        <w:t> :</w:t>
      </w:r>
    </w:p>
    <w:p>
      <w:pPr>
        <w:tabs>
          <w:tab w:val="left" w:pos="-1440"/>
          <w:tab w:val="left" w:pos="-720"/>
          <w:tab w:val="left" w:pos="4820"/>
        </w:tabs>
        <w:spacing w:after="120"/>
        <w:ind w:left="1789"/>
        <w:jc w:val="both"/>
        <w:rPr>
          <w:rFonts w:ascii="Book Antiqua" w:hAnsi="Book Antiqua" w:cs="Book Antiqua"/>
          <w:color w:val="000000"/>
          <w:spacing w:val="-4"/>
        </w:rPr>
      </w:pPr>
      <w:r>
        <w:rPr>
          <w:rFonts w:ascii="Book Antiqua" w:hAnsi="Book Antiqua" w:cs="Book Antiqua"/>
          <w:color w:val="000000"/>
          <w:spacing w:val="-4"/>
        </w:rPr>
        <w:t>Dans le respect des conditions de correspondance</w:t>
      </w:r>
      <w:r>
        <w:rPr>
          <w:rStyle w:val="Caractresdenotedebasdepage"/>
          <w:rFonts w:ascii="Book Antiqua" w:hAnsi="Book Antiqua" w:cs="Book Antiqua"/>
          <w:color w:val="000000"/>
          <w:spacing w:val="-4"/>
        </w:rPr>
        <w:footnoteReference w:id="70"/>
      </w:r>
      <w:r>
        <w:rPr>
          <w:rFonts w:ascii="Book Antiqua" w:hAnsi="Book Antiqua" w:cs="Book Antiqua"/>
          <w:color w:val="000000"/>
          <w:spacing w:val="-4"/>
        </w:rPr>
        <w:t xml:space="preserve">, peuvent être admis comme élèves réguliers dans </w:t>
      </w:r>
      <w:r>
        <w:rPr>
          <w:rFonts w:ascii="Book Antiqua" w:hAnsi="Book Antiqua" w:cs="Book Antiqua"/>
          <w:b/>
          <w:color w:val="000000"/>
          <w:spacing w:val="-4"/>
        </w:rPr>
        <w:t>les 7èmes années professionnelles de type B organisées au terme du 3</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degré de l’enseignement professionnel </w:t>
      </w:r>
      <w:r>
        <w:rPr>
          <w:rFonts w:ascii="Book Antiqua" w:hAnsi="Book Antiqua" w:cs="Book Antiqua"/>
          <w:color w:val="000000"/>
          <w:spacing w:val="-4"/>
        </w:rPr>
        <w:t>:</w:t>
      </w:r>
      <w:r>
        <w:rPr>
          <w:rFonts w:ascii="Book Antiqua" w:hAnsi="Book Antiqua" w:cs="Book Antiqua"/>
          <w:b/>
          <w:color w:val="000000"/>
          <w:spacing w:val="-4"/>
        </w:rPr>
        <w:t xml:space="preserve"> </w:t>
      </w:r>
      <w:r>
        <w:rPr>
          <w:rStyle w:val="Caractresdenotedebasdepage"/>
          <w:rFonts w:ascii="Book Antiqua" w:hAnsi="Book Antiqua" w:cs="Book Antiqua"/>
          <w:color w:val="000000"/>
          <w:spacing w:val="-4"/>
        </w:rPr>
        <w:footnoteReference w:id="71"/>
      </w:r>
      <w:r>
        <w:rPr>
          <w:rFonts w:ascii="Book Antiqua" w:hAnsi="Book Antiqua" w:cs="Book Antiqua"/>
          <w:color w:val="000000"/>
          <w:spacing w:val="-4"/>
        </w:rPr>
        <w:t xml:space="preserve"> </w:t>
      </w:r>
    </w:p>
    <w:p>
      <w:pPr>
        <w:numPr>
          <w:ilvl w:val="0"/>
          <w:numId w:val="1"/>
        </w:numPr>
        <w:tabs>
          <w:tab w:val="left" w:pos="-1440"/>
          <w:tab w:val="left" w:pos="-720"/>
          <w:tab w:val="num" w:pos="914"/>
        </w:tabs>
        <w:spacing w:after="60"/>
        <w:ind w:left="2206"/>
        <w:jc w:val="both"/>
        <w:rPr>
          <w:rFonts w:ascii="Book Antiqua" w:hAnsi="Book Antiqua" w:cs="Book Antiqua"/>
          <w:spacing w:val="-4"/>
        </w:rPr>
      </w:pPr>
      <w:r>
        <w:rPr>
          <w:rFonts w:ascii="Book Antiqua" w:hAnsi="Book Antiqua" w:cs="Book Antiqua"/>
          <w:spacing w:val="-4"/>
        </w:rPr>
        <w:t>les élèves réguliers qui ont terminé avec fruit la 6</w:t>
      </w:r>
      <w:r>
        <w:rPr>
          <w:rFonts w:ascii="Book Antiqua" w:hAnsi="Book Antiqua" w:cs="Book Antiqua"/>
          <w:spacing w:val="-4"/>
          <w:vertAlign w:val="superscript"/>
        </w:rPr>
        <w:t>ème</w:t>
      </w:r>
      <w:r>
        <w:rPr>
          <w:rFonts w:ascii="Book Antiqua" w:hAnsi="Book Antiqua" w:cs="Book Antiqua"/>
          <w:spacing w:val="-4"/>
        </w:rPr>
        <w:t xml:space="preserve"> année de l’enseignement secondaire de plein exercice et titulaires du certificat de qualification lorsque celui-ci est exigé ; </w:t>
      </w:r>
      <w:r>
        <w:rPr>
          <w:rStyle w:val="Caractresdenotedebasdepage"/>
          <w:rFonts w:ascii="Book Antiqua" w:hAnsi="Book Antiqua" w:cs="Book Antiqua"/>
          <w:spacing w:val="-4"/>
        </w:rPr>
        <w:footnoteReference w:id="72"/>
      </w:r>
    </w:p>
    <w:p>
      <w:pPr>
        <w:numPr>
          <w:ilvl w:val="0"/>
          <w:numId w:val="1"/>
        </w:numPr>
        <w:tabs>
          <w:tab w:val="left" w:pos="-1440"/>
          <w:tab w:val="left" w:pos="-720"/>
          <w:tab w:val="num" w:pos="914"/>
        </w:tabs>
        <w:spacing w:after="60"/>
        <w:ind w:left="2206"/>
        <w:jc w:val="both"/>
        <w:rPr>
          <w:rFonts w:ascii="Book Antiqua" w:hAnsi="Book Antiqua" w:cs="Book Antiqua"/>
          <w:spacing w:val="-4"/>
        </w:rPr>
      </w:pPr>
      <w:r>
        <w:rPr>
          <w:rFonts w:ascii="Book Antiqua" w:hAnsi="Book Antiqua" w:cs="Book Antiqua"/>
          <w:spacing w:val="-4"/>
        </w:rPr>
        <w:t>les élèves réguliers qui ont terminé avec fruit la 6</w:t>
      </w:r>
      <w:r>
        <w:rPr>
          <w:rFonts w:ascii="Book Antiqua" w:hAnsi="Book Antiqua" w:cs="Book Antiqua"/>
          <w:spacing w:val="-4"/>
          <w:vertAlign w:val="superscript"/>
        </w:rPr>
        <w:t>ème</w:t>
      </w:r>
      <w:r>
        <w:rPr>
          <w:rFonts w:ascii="Book Antiqua" w:hAnsi="Book Antiqua" w:cs="Book Antiqua"/>
          <w:spacing w:val="-4"/>
        </w:rPr>
        <w:t xml:space="preserve"> année professionnelle ou technique de l’enseignement en alternance tel que défini à l’article 2bis, §1</w:t>
      </w:r>
      <w:r>
        <w:rPr>
          <w:rFonts w:ascii="Book Antiqua" w:hAnsi="Book Antiqua" w:cs="Book Antiqua"/>
          <w:spacing w:val="-4"/>
          <w:vertAlign w:val="superscript"/>
        </w:rPr>
        <w:t>er</w:t>
      </w:r>
      <w:r>
        <w:rPr>
          <w:rFonts w:ascii="Book Antiqua" w:hAnsi="Book Antiqua" w:cs="Book Antiqua"/>
          <w:spacing w:val="-4"/>
        </w:rPr>
        <w:t xml:space="preserve">, 1°, (« Art. 49 ») du décret du 3 juillet 1991 et titulaires du certificat de qualification lorsque celui-ci est exigé ; </w:t>
      </w:r>
    </w:p>
    <w:p>
      <w:pPr>
        <w:numPr>
          <w:ilvl w:val="0"/>
          <w:numId w:val="1"/>
        </w:numPr>
        <w:tabs>
          <w:tab w:val="left" w:pos="-1440"/>
          <w:tab w:val="left" w:pos="-720"/>
          <w:tab w:val="num" w:pos="914"/>
        </w:tabs>
        <w:spacing w:after="240"/>
        <w:ind w:left="2209"/>
        <w:jc w:val="both"/>
        <w:rPr>
          <w:rFonts w:ascii="Book Antiqua" w:hAnsi="Book Antiqua" w:cs="Book Antiqua"/>
          <w:spacing w:val="-4"/>
        </w:rPr>
      </w:pPr>
      <w:r>
        <w:rPr>
          <w:rFonts w:ascii="Verdana" w:hAnsi="Verdana" w:cs="CenturySchoolbook-Bold"/>
          <w:bCs/>
          <w:color w:val="000000"/>
          <w:lang w:eastAsia="en-US"/>
        </w:rPr>
        <w:t xml:space="preserve"> </w:t>
      </w:r>
      <w:r>
        <w:rPr>
          <w:rFonts w:ascii="Book Antiqua" w:hAnsi="Book Antiqua" w:cs="Book Antiqua"/>
          <w:spacing w:val="-4"/>
        </w:rPr>
        <w:t>les élèves réguliers qui ont terminé avec fruit la 6</w:t>
      </w:r>
      <w:r>
        <w:rPr>
          <w:rFonts w:ascii="Book Antiqua" w:hAnsi="Book Antiqua" w:cs="Book Antiqua"/>
          <w:spacing w:val="-4"/>
          <w:vertAlign w:val="superscript"/>
        </w:rPr>
        <w:t>ème</w:t>
      </w:r>
      <w:r>
        <w:rPr>
          <w:rFonts w:ascii="Book Antiqua" w:hAnsi="Book Antiqua" w:cs="Book Antiqua"/>
          <w:spacing w:val="-4"/>
        </w:rPr>
        <w:t xml:space="preserve"> année de l’enseignement secondaire professionnel et qui ont ultérieurement obtenu, en application de l’article 58, §1</w:t>
      </w:r>
      <w:r>
        <w:rPr>
          <w:rFonts w:ascii="Book Antiqua" w:hAnsi="Book Antiqua" w:cs="Book Antiqua"/>
          <w:spacing w:val="-4"/>
          <w:vertAlign w:val="superscript"/>
        </w:rPr>
        <w:t>er</w:t>
      </w:r>
      <w:r>
        <w:rPr>
          <w:rFonts w:ascii="Book Antiqua" w:hAnsi="Book Antiqua" w:cs="Book Antiqua"/>
          <w:spacing w:val="-4"/>
        </w:rPr>
        <w:t xml:space="preserve"> ou §2 de l’arrêté royal du 29 juin 1984, un certificat de qualification de la 6</w:t>
      </w:r>
      <w:r>
        <w:rPr>
          <w:rFonts w:ascii="Book Antiqua" w:hAnsi="Book Antiqua" w:cs="Book Antiqua"/>
          <w:spacing w:val="-4"/>
          <w:vertAlign w:val="superscript"/>
        </w:rPr>
        <w:t>ème</w:t>
      </w:r>
      <w:r>
        <w:rPr>
          <w:rFonts w:ascii="Book Antiqua" w:hAnsi="Book Antiqua" w:cs="Book Antiqua"/>
          <w:spacing w:val="-4"/>
        </w:rPr>
        <w:t xml:space="preserve"> année de l’enseignement secondaire professionnel, dans une orientation d’études présentant un caractère de correspondance par rapport à la 7</w:t>
      </w:r>
      <w:r>
        <w:rPr>
          <w:rFonts w:ascii="Book Antiqua" w:hAnsi="Book Antiqua" w:cs="Book Antiqua"/>
          <w:spacing w:val="-4"/>
          <w:vertAlign w:val="superscript"/>
        </w:rPr>
        <w:t>ème</w:t>
      </w:r>
      <w:r>
        <w:rPr>
          <w:rFonts w:ascii="Book Antiqua" w:hAnsi="Book Antiqua" w:cs="Book Antiqua"/>
          <w:spacing w:val="-4"/>
        </w:rPr>
        <w:t xml:space="preserve"> année professionnelle de type B à laquelle ils souhaitent accéder.</w:t>
      </w:r>
    </w:p>
    <w:p>
      <w:pPr>
        <w:tabs>
          <w:tab w:val="left" w:pos="-1440"/>
          <w:tab w:val="left" w:pos="-720"/>
          <w:tab w:val="left" w:pos="4820"/>
        </w:tabs>
        <w:spacing w:after="240"/>
        <w:ind w:left="1418"/>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 :</w:t>
      </w:r>
    </w:p>
    <w:p>
      <w:pPr>
        <w:numPr>
          <w:ilvl w:val="0"/>
          <w:numId w:val="3"/>
        </w:numPr>
        <w:tabs>
          <w:tab w:val="clear" w:pos="360"/>
          <w:tab w:val="left" w:pos="-2520"/>
          <w:tab w:val="left" w:pos="-1440"/>
          <w:tab w:val="left" w:pos="-720"/>
          <w:tab w:val="left" w:pos="993"/>
          <w:tab w:val="num" w:pos="1069"/>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73"/>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toute autre forme de contrat ou de convention reconnue par la législation du travail et s’inscrivant dans le cadre d’une formation en alternance qui aura reçu l’approbation du Gouvernement de la </w:t>
      </w:r>
      <w:r>
        <w:rPr>
          <w:rFonts w:ascii="Book Antiqua" w:hAnsi="Book Antiqua" w:cs="Book Antiqua"/>
          <w:color w:val="000000"/>
        </w:rPr>
        <w:t>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74"/>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tabs>
          <w:tab w:val="left" w:pos="-1440"/>
          <w:tab w:val="left" w:pos="-720"/>
          <w:tab w:val="left" w:pos="1583"/>
        </w:tabs>
        <w:ind w:left="709"/>
        <w:jc w:val="both"/>
        <w:rPr>
          <w:rFonts w:ascii="Book Antiqua" w:hAnsi="Book Antiqua" w:cs="Book Antiqua"/>
          <w:color w:val="000000"/>
          <w:spacing w:val="-4"/>
        </w:rPr>
      </w:pPr>
    </w:p>
    <w:p>
      <w:pPr>
        <w:tabs>
          <w:tab w:val="left" w:pos="-1440"/>
          <w:tab w:val="left" w:pos="-720"/>
          <w:tab w:val="left" w:pos="2572"/>
        </w:tabs>
        <w:spacing w:after="240"/>
        <w:ind w:left="2127"/>
        <w:jc w:val="both"/>
        <w:rPr>
          <w:rFonts w:ascii="Book Antiqua" w:hAnsi="Book Antiqua" w:cs="Book Antiqua"/>
          <w:color w:val="000000"/>
          <w:spacing w:val="-4"/>
        </w:rPr>
      </w:pPr>
      <w:r>
        <w:rPr>
          <w:rFonts w:ascii="Book Antiqua" w:hAnsi="Book Antiqua" w:cs="Book Antiqua"/>
          <w:color w:val="000000"/>
          <w:spacing w:val="-4"/>
        </w:rPr>
        <w:br w:type="page"/>
      </w: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lastRenderedPageBreak/>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75"/>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3 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tabs>
          <w:tab w:val="left" w:pos="-1440"/>
          <w:tab w:val="left" w:pos="-720"/>
          <w:tab w:val="left" w:pos="1583"/>
        </w:tabs>
        <w:ind w:left="709"/>
        <w:jc w:val="both"/>
        <w:rPr>
          <w:rFonts w:ascii="Book Antiqua" w:hAnsi="Book Antiqua" w:cs="Book Antiqua"/>
          <w:color w:val="000000"/>
          <w:spacing w:val="-4"/>
        </w:rPr>
      </w:pPr>
    </w:p>
    <w:p>
      <w:pPr>
        <w:pStyle w:val="niveau5"/>
        <w:pageBreakBefore/>
        <w:ind w:left="1418"/>
        <w:rPr>
          <w:sz w:val="28"/>
          <w:szCs w:val="28"/>
        </w:rPr>
      </w:pPr>
      <w:r>
        <w:rPr>
          <w:sz w:val="28"/>
          <w:szCs w:val="28"/>
        </w:rPr>
        <w:lastRenderedPageBreak/>
        <w:t xml:space="preserve">2.2. Enseignement technique de qualification </w:t>
      </w:r>
    </w:p>
    <w:p>
      <w:pPr>
        <w:pStyle w:val="Corpsdetext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rPr>
          <w:u w:val="single"/>
        </w:rPr>
      </w:pPr>
      <w:r>
        <w:rPr>
          <w:u w:val="single"/>
        </w:rPr>
        <w:t>en 5</w:t>
      </w:r>
      <w:r>
        <w:rPr>
          <w:u w:val="single"/>
          <w:vertAlign w:val="superscript"/>
        </w:rPr>
        <w:t>ème</w:t>
      </w:r>
      <w:r>
        <w:rPr>
          <w:u w:val="single"/>
        </w:rPr>
        <w:t xml:space="preserve"> TQ :</w:t>
      </w:r>
    </w:p>
    <w:p>
      <w:pPr>
        <w:tabs>
          <w:tab w:val="left" w:pos="-1440"/>
          <w:tab w:val="left" w:pos="-720"/>
          <w:tab w:val="left" w:pos="4820"/>
        </w:tabs>
        <w:spacing w:after="120"/>
        <w:ind w:left="1843"/>
        <w:jc w:val="both"/>
        <w:rPr>
          <w:rFonts w:ascii="Book Antiqua" w:hAnsi="Book Antiqua" w:cs="Book Antiqua"/>
          <w:color w:val="000000"/>
          <w:spacing w:val="-4"/>
        </w:rPr>
      </w:pPr>
      <w:r>
        <w:rPr>
          <w:rFonts w:ascii="Book Antiqua" w:hAnsi="Book Antiqua" w:cs="Book Antiqua"/>
          <w:color w:val="000000"/>
          <w:spacing w:val="-4"/>
        </w:rPr>
        <w:t xml:space="preserve">Sans préjudice des dispositions nécessitant l’avis favorable du conseil d’admission, peuvent être admis comme élèves réguliers </w:t>
      </w:r>
      <w:r>
        <w:rPr>
          <w:rFonts w:ascii="Book Antiqua" w:hAnsi="Book Antiqua" w:cs="Book Antiqua"/>
          <w:b/>
          <w:color w:val="000000"/>
          <w:spacing w:val="-4"/>
        </w:rPr>
        <w:t>en 5</w:t>
      </w:r>
      <w:r>
        <w:rPr>
          <w:rFonts w:ascii="Book Antiqua" w:hAnsi="Book Antiqua" w:cs="Book Antiqua"/>
          <w:b/>
          <w:color w:val="000000"/>
          <w:spacing w:val="-4"/>
          <w:vertAlign w:val="superscript"/>
        </w:rPr>
        <w:t>ème</w:t>
      </w:r>
      <w:r>
        <w:rPr>
          <w:rFonts w:ascii="Book Antiqua" w:hAnsi="Book Antiqua" w:cs="Book Antiqua"/>
          <w:color w:val="000000"/>
          <w:spacing w:val="-4"/>
        </w:rPr>
        <w:t xml:space="preserve"> </w:t>
      </w:r>
      <w:r>
        <w:rPr>
          <w:rFonts w:ascii="Book Antiqua" w:hAnsi="Book Antiqua" w:cs="Book Antiqua"/>
          <w:b/>
          <w:color w:val="000000"/>
          <w:spacing w:val="-4"/>
        </w:rPr>
        <w:t xml:space="preserve">année </w:t>
      </w:r>
      <w:r>
        <w:rPr>
          <w:rFonts w:ascii="Book Antiqua" w:hAnsi="Book Antiqua" w:cs="Book Antiqua"/>
          <w:color w:val="000000"/>
          <w:spacing w:val="-4"/>
        </w:rPr>
        <w:t xml:space="preserve">organisée au </w:t>
      </w:r>
      <w:r>
        <w:rPr>
          <w:rFonts w:ascii="Book Antiqua" w:hAnsi="Book Antiqua" w:cs="Book Antiqua"/>
          <w:b/>
          <w:color w:val="000000"/>
          <w:spacing w:val="-4"/>
        </w:rPr>
        <w:t>3</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degré de l’enseignement technique </w:t>
      </w:r>
      <w:r>
        <w:rPr>
          <w:rFonts w:ascii="Book Antiqua" w:hAnsi="Book Antiqua" w:cs="Book Antiqua"/>
          <w:color w:val="000000"/>
          <w:spacing w:val="-4"/>
        </w:rPr>
        <w:t>:</w:t>
      </w:r>
      <w:r>
        <w:rPr>
          <w:rFonts w:ascii="Book Antiqua" w:hAnsi="Book Antiqua" w:cs="Book Antiqua"/>
          <w:b/>
          <w:color w:val="000000"/>
          <w:spacing w:val="-4"/>
        </w:rPr>
        <w:t xml:space="preserve"> </w:t>
      </w:r>
      <w:r>
        <w:rPr>
          <w:rStyle w:val="Caractresdenotedebasdepage"/>
          <w:rFonts w:ascii="Book Antiqua" w:hAnsi="Book Antiqua" w:cs="Book Antiqua"/>
          <w:color w:val="000000"/>
          <w:spacing w:val="-4"/>
        </w:rPr>
        <w:footnoteReference w:id="76"/>
      </w:r>
    </w:p>
    <w:p>
      <w:pPr>
        <w:numPr>
          <w:ilvl w:val="0"/>
          <w:numId w:val="23"/>
        </w:numPr>
        <w:tabs>
          <w:tab w:val="clear" w:pos="360"/>
          <w:tab w:val="left" w:pos="-1440"/>
          <w:tab w:val="left" w:pos="-720"/>
          <w:tab w:val="left" w:pos="709"/>
          <w:tab w:val="num" w:pos="1069"/>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général, technique ou artistique de type I ;</w:t>
      </w:r>
    </w:p>
    <w:p>
      <w:pPr>
        <w:numPr>
          <w:ilvl w:val="0"/>
          <w:numId w:val="23"/>
        </w:numPr>
        <w:tabs>
          <w:tab w:val="clear" w:pos="360"/>
          <w:tab w:val="left" w:pos="-1440"/>
          <w:tab w:val="left" w:pos="-720"/>
          <w:tab w:val="left" w:pos="709"/>
          <w:tab w:val="num" w:pos="1069"/>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enseignement général, technique ou artistique délivré par le jury de la</w:t>
      </w:r>
      <w:r>
        <w:rPr>
          <w:rFonts w:ascii="Book Antiqua" w:hAnsi="Book Antiqua" w:cs="Book Antiqua"/>
          <w:color w:val="000000"/>
        </w:rPr>
        <w:t xml:space="preserve"> Fédération Wallonie-Bruxelles </w:t>
      </w:r>
      <w:r>
        <w:rPr>
          <w:rFonts w:ascii="Book Antiqua" w:hAnsi="Book Antiqua" w:cs="Book Antiqua"/>
          <w:color w:val="000000"/>
          <w:spacing w:val="-4"/>
        </w:rPr>
        <w:t>;</w:t>
      </w:r>
    </w:p>
    <w:p>
      <w:pPr>
        <w:numPr>
          <w:ilvl w:val="0"/>
          <w:numId w:val="23"/>
        </w:numPr>
        <w:tabs>
          <w:tab w:val="clear" w:pos="360"/>
          <w:tab w:val="left" w:pos="-1440"/>
          <w:tab w:val="left" w:pos="-720"/>
          <w:tab w:val="left" w:pos="709"/>
          <w:tab w:val="num" w:pos="1069"/>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titulaires d’un certificat d’enseignement secondaire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 orientation générale – délivré par l’enseignement secondaire de promotion sociale de régime 1, en application de l’arrêté du Gouvernement de la Communauté française du 9 juin 1999 </w:t>
      </w:r>
      <w:r>
        <w:rPr>
          <w:rFonts w:ascii="Book Antiqua" w:hAnsi="Book Antiqua" w:cs="Book Antiqua"/>
          <w:color w:val="000000"/>
        </w:rPr>
        <w:t>approuvant le dossier de référence de la section " Certificat d'enseignement secondaire du deuxième degré - Orientation générale " (code 041504S20D1) classée au niveau de l'enseignement secondaire supérieur de l'enseignement de promotion sociale de régime 1 délivrant un certificat correspondant au "certificat du second degré" délivré à l'issue de la 4</w:t>
      </w:r>
      <w:r>
        <w:rPr>
          <w:rFonts w:ascii="Book Antiqua" w:hAnsi="Book Antiqua" w:cs="Book Antiqua"/>
          <w:color w:val="000000"/>
          <w:vertAlign w:val="superscript"/>
        </w:rPr>
        <w:t>ème</w:t>
      </w:r>
      <w:r>
        <w:rPr>
          <w:rFonts w:ascii="Book Antiqua" w:hAnsi="Book Antiqua" w:cs="Book Antiqua"/>
          <w:color w:val="000000"/>
        </w:rPr>
        <w:t xml:space="preserve"> année de l'enseignement secondaire de plein exercice</w:t>
      </w:r>
      <w:r>
        <w:rPr>
          <w:rFonts w:ascii="Book Antiqua" w:hAnsi="Book Antiqua" w:cs="Book Antiqua"/>
          <w:color w:val="000000"/>
          <w:spacing w:val="-4"/>
        </w:rPr>
        <w:t> ;</w:t>
      </w:r>
    </w:p>
    <w:p>
      <w:pPr>
        <w:numPr>
          <w:ilvl w:val="0"/>
          <w:numId w:val="23"/>
        </w:numPr>
        <w:tabs>
          <w:tab w:val="clear" w:pos="360"/>
          <w:tab w:val="left" w:pos="-1440"/>
          <w:tab w:val="left" w:pos="-720"/>
          <w:tab w:val="left" w:pos="709"/>
          <w:tab w:val="num" w:pos="1069"/>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professionnel de plein exercice ou de l’enseignement secondaire professionnel en alternance visé à l’article 2bis, § 1</w:t>
      </w:r>
      <w:r>
        <w:rPr>
          <w:rFonts w:ascii="Book Antiqua" w:hAnsi="Book Antiqua" w:cs="Book Antiqua"/>
          <w:color w:val="000000"/>
          <w:spacing w:val="-4"/>
          <w:vertAlign w:val="superscript"/>
        </w:rPr>
        <w:t>er</w:t>
      </w:r>
      <w:r>
        <w:rPr>
          <w:rFonts w:ascii="Book Antiqua" w:hAnsi="Book Antiqua" w:cs="Book Antiqua"/>
          <w:color w:val="000000"/>
          <w:spacing w:val="-4"/>
        </w:rPr>
        <w:t>, 1° du décret du 3 juillet 1991 (formation « article 49 »).</w:t>
      </w:r>
    </w:p>
    <w:p>
      <w:pPr>
        <w:tabs>
          <w:tab w:val="left" w:pos="-1440"/>
          <w:tab w:val="left" w:pos="-720"/>
          <w:tab w:val="left" w:pos="709"/>
          <w:tab w:val="left" w:pos="1559"/>
        </w:tabs>
        <w:spacing w:after="60"/>
        <w:jc w:val="both"/>
        <w:rPr>
          <w:rFonts w:ascii="Book Antiqua" w:hAnsi="Book Antiqua" w:cs="Book Antiqua"/>
          <w:color w:val="000000"/>
          <w:spacing w:val="-4"/>
          <w:lang w:val="fr-BE"/>
        </w:rPr>
      </w:pPr>
    </w:p>
    <w:p>
      <w:pPr>
        <w:tabs>
          <w:tab w:val="left" w:pos="-1440"/>
          <w:tab w:val="left" w:pos="-720"/>
          <w:tab w:val="left" w:pos="4820"/>
        </w:tabs>
        <w:spacing w:after="240"/>
        <w:ind w:left="1418"/>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TQ:</w:t>
      </w:r>
    </w:p>
    <w:p>
      <w:pPr>
        <w:numPr>
          <w:ilvl w:val="0"/>
          <w:numId w:val="3"/>
        </w:numPr>
        <w:tabs>
          <w:tab w:val="clear" w:pos="360"/>
          <w:tab w:val="left" w:pos="-1440"/>
          <w:tab w:val="left" w:pos="-720"/>
          <w:tab w:val="left" w:pos="993"/>
          <w:tab w:val="num" w:pos="1069"/>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77"/>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78"/>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w:t>
      </w:r>
    </w:p>
    <w:p>
      <w:pPr>
        <w:tabs>
          <w:tab w:val="left" w:pos="-1440"/>
          <w:tab w:val="left" w:pos="-720"/>
          <w:tab w:val="left" w:pos="1583"/>
        </w:tabs>
        <w:ind w:left="709"/>
        <w:jc w:val="both"/>
        <w:rPr>
          <w:rFonts w:ascii="Book Antiqua" w:hAnsi="Book Antiqua" w:cs="Book Antiqua"/>
          <w:color w:val="000000"/>
          <w:spacing w:val="-4"/>
        </w:rPr>
      </w:pPr>
    </w:p>
    <w:p>
      <w:pPr>
        <w:tabs>
          <w:tab w:val="left" w:pos="-1440"/>
          <w:tab w:val="left" w:pos="-720"/>
          <w:tab w:val="left" w:pos="2572"/>
        </w:tabs>
        <w:spacing w:after="240"/>
        <w:jc w:val="both"/>
        <w:rPr>
          <w:rFonts w:ascii="Book Antiqua" w:hAnsi="Book Antiqua" w:cs="Book Antiqua"/>
          <w:color w:val="000000"/>
          <w:spacing w:val="-4"/>
        </w:rPr>
      </w:pP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79"/>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 xml:space="preserve">soit une convention de premier emploi de type 2 ou 3 liée à un contrat  soit toute autre forme de contrat ou de convention reconnue par la législation du travail et s’inscrivant dans le cadre d’une formation en alternance qui aura reçu l’approbation du Gouvernement de la Fédération Wallonie-Bruxelles. </w:t>
      </w:r>
    </w:p>
    <w:p>
      <w:pPr>
        <w:tabs>
          <w:tab w:val="left" w:pos="-1440"/>
          <w:tab w:val="left" w:pos="-720"/>
          <w:tab w:val="left" w:pos="1583"/>
        </w:tabs>
        <w:ind w:left="709"/>
        <w:jc w:val="both"/>
        <w:rPr>
          <w:rFonts w:ascii="Book Antiqua" w:hAnsi="Book Antiqua" w:cs="Book Antiqua"/>
          <w:color w:val="000000"/>
          <w:spacing w:val="-4"/>
        </w:rPr>
      </w:pP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pPr>
      <w:r>
        <w:lastRenderedPageBreak/>
        <w:t>en 6</w:t>
      </w:r>
      <w:r>
        <w:rPr>
          <w:vertAlign w:val="superscript"/>
        </w:rPr>
        <w:t>ème</w:t>
      </w:r>
      <w:r>
        <w:t xml:space="preserve"> TQ</w:t>
      </w:r>
      <w:r>
        <w:rPr>
          <w:rStyle w:val="Appelnotedebasdep"/>
          <w:u w:val="single"/>
        </w:rPr>
        <w:footnoteReference w:id="80"/>
      </w:r>
      <w:r>
        <w:t> :</w:t>
      </w:r>
    </w:p>
    <w:p>
      <w:pPr>
        <w:tabs>
          <w:tab w:val="left" w:pos="-1440"/>
          <w:tab w:val="left" w:pos="-720"/>
          <w:tab w:val="left" w:pos="4820"/>
        </w:tabs>
        <w:ind w:left="1843"/>
        <w:jc w:val="both"/>
        <w:rPr>
          <w:rFonts w:ascii="Book Antiqua" w:hAnsi="Book Antiqua" w:cs="Book Antiqua"/>
          <w:spacing w:val="-4"/>
        </w:rPr>
      </w:pPr>
      <w:r>
        <w:rPr>
          <w:rFonts w:ascii="Book Antiqua" w:hAnsi="Book Antiqua" w:cs="Book Antiqua"/>
          <w:color w:val="000000"/>
          <w:spacing w:val="-4"/>
        </w:rPr>
        <w:t xml:space="preserve">Sans préjudice du respect des conditions d’admission, peuvent être admis comme élèves réguliers </w:t>
      </w:r>
      <w:r>
        <w:rPr>
          <w:rFonts w:ascii="Book Antiqua" w:hAnsi="Book Antiqua" w:cs="Book Antiqua"/>
          <w:b/>
          <w:color w:val="000000"/>
          <w:spacing w:val="-4"/>
        </w:rPr>
        <w:t>en 6</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année</w:t>
      </w:r>
      <w:r>
        <w:rPr>
          <w:rFonts w:ascii="Book Antiqua" w:hAnsi="Book Antiqua" w:cs="Book Antiqua"/>
          <w:color w:val="000000"/>
          <w:spacing w:val="-4"/>
        </w:rPr>
        <w:t xml:space="preserve"> organisée au </w:t>
      </w:r>
      <w:r>
        <w:rPr>
          <w:rFonts w:ascii="Book Antiqua" w:hAnsi="Book Antiqua" w:cs="Book Antiqua"/>
          <w:b/>
          <w:color w:val="000000"/>
          <w:spacing w:val="-4"/>
        </w:rPr>
        <w:t>troisième degré de l’enseignement technique</w:t>
      </w:r>
      <w:r>
        <w:rPr>
          <w:rFonts w:ascii="Book Antiqua" w:hAnsi="Book Antiqua" w:cs="Book Antiqua"/>
          <w:color w:val="000000"/>
          <w:spacing w:val="-4"/>
        </w:rPr>
        <w:t xml:space="preserve">, </w:t>
      </w:r>
      <w:r>
        <w:rPr>
          <w:rFonts w:ascii="Book Antiqua" w:hAnsi="Book Antiqua" w:cs="Book Antiqua"/>
          <w:spacing w:val="-4"/>
        </w:rPr>
        <w:t>les élèves réguliers qui ont terminé avec fruit, dans la même section et la même orientation d’études, la 5</w:t>
      </w:r>
      <w:r>
        <w:rPr>
          <w:rFonts w:ascii="Book Antiqua" w:hAnsi="Book Antiqua" w:cs="Book Antiqua"/>
          <w:spacing w:val="-4"/>
          <w:vertAlign w:val="superscript"/>
        </w:rPr>
        <w:t>ème</w:t>
      </w:r>
      <w:r>
        <w:rPr>
          <w:rFonts w:ascii="Book Antiqua" w:hAnsi="Book Antiqua" w:cs="Book Antiqua"/>
          <w:spacing w:val="-4"/>
        </w:rPr>
        <w:t xml:space="preserve"> année de l’enseignement secondaire technique de plein exercice ou en alternance visé à l’article 2bis, § 1</w:t>
      </w:r>
      <w:r>
        <w:rPr>
          <w:rFonts w:ascii="Book Antiqua" w:hAnsi="Book Antiqua" w:cs="Book Antiqua"/>
          <w:spacing w:val="-4"/>
          <w:vertAlign w:val="superscript"/>
        </w:rPr>
        <w:t>er</w:t>
      </w:r>
      <w:r>
        <w:rPr>
          <w:rFonts w:ascii="Book Antiqua" w:hAnsi="Book Antiqua" w:cs="Book Antiqua"/>
          <w:spacing w:val="-4"/>
        </w:rPr>
        <w:t xml:space="preserve">, 1° (formation « article 49 »). </w:t>
      </w:r>
      <w:r>
        <w:rPr>
          <w:rStyle w:val="Caractresdenotedebasdepage"/>
          <w:rFonts w:ascii="Book Antiqua" w:hAnsi="Book Antiqua" w:cs="Book Antiqua"/>
          <w:spacing w:val="-4"/>
        </w:rPr>
        <w:footnoteReference w:id="81"/>
      </w:r>
      <w:r>
        <w:rPr>
          <w:rFonts w:ascii="Book Antiqua" w:hAnsi="Book Antiqua" w:cs="Book Antiqua"/>
          <w:spacing w:val="-4"/>
        </w:rPr>
        <w:t> </w:t>
      </w:r>
    </w:p>
    <w:p>
      <w:pPr>
        <w:spacing w:afterLines="60" w:after="144"/>
        <w:jc w:val="both"/>
        <w:rPr>
          <w:rFonts w:ascii="Verdana" w:hAnsi="Verdana" w:cs="CenturySchoolbook-Bold"/>
          <w:bCs/>
          <w:color w:val="FF0000"/>
          <w:lang w:eastAsia="en-US"/>
        </w:rPr>
      </w:pPr>
    </w:p>
    <w:p>
      <w:pPr>
        <w:tabs>
          <w:tab w:val="left" w:pos="-1440"/>
          <w:tab w:val="left" w:pos="-720"/>
          <w:tab w:val="left" w:pos="4820"/>
        </w:tabs>
        <w:spacing w:before="240" w:after="240"/>
        <w:ind w:left="1843"/>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TQ:</w:t>
      </w:r>
    </w:p>
    <w:p>
      <w:pPr>
        <w:numPr>
          <w:ilvl w:val="0"/>
          <w:numId w:val="3"/>
        </w:numPr>
        <w:tabs>
          <w:tab w:val="clear" w:pos="360"/>
          <w:tab w:val="left" w:pos="-1440"/>
          <w:tab w:val="left" w:pos="-720"/>
          <w:tab w:val="left" w:pos="993"/>
          <w:tab w:val="num" w:pos="1069"/>
          <w:tab w:val="left" w:pos="1780"/>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82"/>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83"/>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w:t>
      </w:r>
    </w:p>
    <w:p>
      <w:pPr>
        <w:tabs>
          <w:tab w:val="left" w:pos="-1440"/>
          <w:tab w:val="left" w:pos="-720"/>
          <w:tab w:val="left" w:pos="1583"/>
        </w:tabs>
        <w:ind w:left="709"/>
        <w:jc w:val="both"/>
        <w:rPr>
          <w:rFonts w:ascii="Book Antiqua" w:hAnsi="Book Antiqua" w:cs="Book Antiqua"/>
          <w:color w:val="000000"/>
          <w:spacing w:val="-4"/>
        </w:rPr>
      </w:pP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84"/>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 xml:space="preserve">soit une convention de premier emploi de type 2 ou 3 liée à un contrat  soit toute autre forme de contrat ou de convention reconnue par la législation du travail et s’inscrivant dans le cadre d’une formation en alternance qui aura reçu l’approbation du Gouvernement de la Fédération Wallonie-Bruxelles. </w:t>
      </w:r>
    </w:p>
    <w:p>
      <w:pPr>
        <w:tabs>
          <w:tab w:val="left" w:pos="-1440"/>
          <w:tab w:val="left" w:pos="-720"/>
          <w:tab w:val="left" w:pos="1583"/>
        </w:tabs>
        <w:ind w:left="709"/>
        <w:jc w:val="both"/>
        <w:rPr>
          <w:rFonts w:ascii="Book Antiqua" w:hAnsi="Book Antiqua" w:cs="Book Antiqua"/>
          <w:color w:val="000000"/>
          <w:spacing w:val="-4"/>
        </w:rPr>
      </w:pP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pPr>
      <w:r>
        <w:lastRenderedPageBreak/>
        <w:t>en 7</w:t>
      </w:r>
      <w:r>
        <w:rPr>
          <w:vertAlign w:val="superscript"/>
        </w:rPr>
        <w:t>ème</w:t>
      </w:r>
      <w:r>
        <w:t xml:space="preserve"> TQ</w:t>
      </w:r>
      <w:r>
        <w:rPr>
          <w:rStyle w:val="Appelnotedebasdep"/>
          <w:u w:val="single"/>
        </w:rPr>
        <w:footnoteReference w:id="85"/>
      </w:r>
      <w:r>
        <w:t> :</w:t>
      </w:r>
    </w:p>
    <w:p>
      <w:pPr>
        <w:tabs>
          <w:tab w:val="left" w:pos="-1440"/>
          <w:tab w:val="left" w:pos="-720"/>
          <w:tab w:val="left" w:pos="4820"/>
        </w:tabs>
        <w:spacing w:before="240" w:after="120"/>
        <w:ind w:left="1843"/>
        <w:jc w:val="both"/>
        <w:rPr>
          <w:rFonts w:ascii="Book Antiqua" w:hAnsi="Book Antiqua" w:cs="Book Antiqua"/>
          <w:color w:val="000000"/>
          <w:spacing w:val="-4"/>
        </w:rPr>
      </w:pPr>
      <w:r>
        <w:rPr>
          <w:rFonts w:ascii="Book Antiqua" w:hAnsi="Book Antiqua" w:cs="Book Antiqua"/>
          <w:color w:val="000000"/>
          <w:spacing w:val="-4"/>
        </w:rPr>
        <w:t xml:space="preserve">Dans le respect des conditions de correspondance, peuvent être admis comme élèves réguliers dans </w:t>
      </w:r>
      <w:r>
        <w:rPr>
          <w:rFonts w:ascii="Book Antiqua" w:hAnsi="Book Antiqua" w:cs="Book Antiqua"/>
          <w:b/>
          <w:color w:val="000000"/>
          <w:spacing w:val="-4"/>
        </w:rPr>
        <w:t>les 7</w:t>
      </w:r>
      <w:r>
        <w:rPr>
          <w:rFonts w:ascii="Book Antiqua" w:hAnsi="Book Antiqua" w:cs="Book Antiqua"/>
          <w:b/>
          <w:color w:val="000000"/>
          <w:spacing w:val="-4"/>
          <w:vertAlign w:val="superscript"/>
        </w:rPr>
        <w:t>èmes</w:t>
      </w:r>
      <w:r>
        <w:rPr>
          <w:rFonts w:ascii="Book Antiqua" w:hAnsi="Book Antiqua" w:cs="Book Antiqua"/>
          <w:b/>
          <w:color w:val="000000"/>
          <w:spacing w:val="-4"/>
        </w:rPr>
        <w:t xml:space="preserve"> années qualifiantes et complémentaires </w:t>
      </w:r>
      <w:r>
        <w:rPr>
          <w:rFonts w:ascii="Book Antiqua" w:hAnsi="Book Antiqua" w:cs="Book Antiqua"/>
          <w:color w:val="000000"/>
          <w:spacing w:val="-4"/>
        </w:rPr>
        <w:t>:</w:t>
      </w:r>
      <w:r>
        <w:rPr>
          <w:rFonts w:ascii="Book Antiqua" w:hAnsi="Book Antiqua" w:cs="Book Antiqua"/>
          <w:b/>
          <w:color w:val="000000"/>
          <w:spacing w:val="-4"/>
        </w:rPr>
        <w:t xml:space="preserve"> </w:t>
      </w:r>
      <w:r>
        <w:rPr>
          <w:rStyle w:val="Caractresdenotedebasdepage"/>
          <w:rFonts w:ascii="Book Antiqua" w:hAnsi="Book Antiqua" w:cs="Book Antiqua"/>
          <w:color w:val="000000"/>
          <w:spacing w:val="-4"/>
        </w:rPr>
        <w:footnoteReference w:id="86"/>
      </w:r>
    </w:p>
    <w:p>
      <w:pPr>
        <w:spacing w:afterLines="60" w:after="144"/>
        <w:ind w:left="1843"/>
        <w:jc w:val="both"/>
        <w:rPr>
          <w:rFonts w:ascii="Book Antiqua" w:hAnsi="Book Antiqua" w:cs="CenturySchoolbook-Bold"/>
          <w:bCs/>
          <w:lang w:eastAsia="en-US"/>
        </w:rPr>
      </w:pPr>
      <w:r>
        <w:rPr>
          <w:rFonts w:ascii="Verdana" w:hAnsi="Verdana" w:cs="CenturySchoolbook-Bold"/>
          <w:bCs/>
          <w:color w:val="000000"/>
          <w:lang w:eastAsia="en-US"/>
        </w:rPr>
        <w:t xml:space="preserve">- </w:t>
      </w:r>
      <w:r>
        <w:rPr>
          <w:rFonts w:ascii="Book Antiqua" w:hAnsi="Book Antiqua" w:cs="CenturySchoolbook-Bold"/>
          <w:bCs/>
          <w:lang w:eastAsia="en-US"/>
        </w:rPr>
        <w:t>les élèves réguliers qui ont terminé avec fruit la sixième année de l'enseignement secondaire général, technique ou artistique de plein exercice ou la sixième année de l'enseignement secondaire technique en alternance visé à l’article 2bis, § 1</w:t>
      </w:r>
      <w:r>
        <w:rPr>
          <w:rFonts w:ascii="Book Antiqua" w:hAnsi="Book Antiqua" w:cs="CenturySchoolbook-Bold"/>
          <w:bCs/>
          <w:vertAlign w:val="superscript"/>
          <w:lang w:eastAsia="en-US"/>
        </w:rPr>
        <w:t>er</w:t>
      </w:r>
      <w:r>
        <w:rPr>
          <w:rFonts w:ascii="Book Antiqua" w:hAnsi="Book Antiqua" w:cs="CenturySchoolbook-Bold"/>
          <w:bCs/>
          <w:lang w:eastAsia="en-US"/>
        </w:rPr>
        <w:t>, 1° (formation « article 49 »);</w:t>
      </w:r>
    </w:p>
    <w:p>
      <w:pPr>
        <w:numPr>
          <w:ilvl w:val="0"/>
          <w:numId w:val="1"/>
        </w:numPr>
        <w:tabs>
          <w:tab w:val="left" w:pos="-1440"/>
          <w:tab w:val="left" w:pos="-720"/>
          <w:tab w:val="num" w:pos="914"/>
        </w:tabs>
        <w:spacing w:after="60"/>
        <w:ind w:left="1900" w:hanging="57"/>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professionnel de plein exercice ou de l’enseignement secondaire professionnel en alternance visé à l’art. 2bis, §1</w:t>
      </w:r>
      <w:r>
        <w:rPr>
          <w:rFonts w:ascii="Book Antiqua" w:hAnsi="Book Antiqua" w:cs="Book Antiqua"/>
          <w:color w:val="000000"/>
          <w:spacing w:val="-4"/>
          <w:vertAlign w:val="superscript"/>
        </w:rPr>
        <w:t>er</w:t>
      </w:r>
      <w:r>
        <w:rPr>
          <w:rFonts w:ascii="Book Antiqua" w:hAnsi="Book Antiqua" w:cs="Book Antiqua"/>
          <w:color w:val="000000"/>
          <w:spacing w:val="-4"/>
        </w:rPr>
        <w:t>, 1° (formation « article 49 ») ;</w:t>
      </w:r>
    </w:p>
    <w:p>
      <w:pPr>
        <w:numPr>
          <w:ilvl w:val="0"/>
          <w:numId w:val="1"/>
        </w:numPr>
        <w:tabs>
          <w:tab w:val="left" w:pos="-1440"/>
          <w:tab w:val="left" w:pos="-720"/>
          <w:tab w:val="num" w:pos="914"/>
        </w:tabs>
        <w:ind w:left="1900" w:hanging="57"/>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général, technique ou artistique et qui ont ultérieurement obtenu, en application de l’article 58,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ou §2 de l’arrêté royal du 29 juin 1984, un certificat de qualification de la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technique ou artistique, dans une </w:t>
      </w:r>
      <w:r>
        <w:rPr>
          <w:rFonts w:ascii="Book Antiqua" w:hAnsi="Book Antiqua" w:cs="Book Antiqua"/>
          <w:spacing w:val="-4"/>
        </w:rPr>
        <w:t>orientation d’études</w:t>
      </w:r>
      <w:r>
        <w:rPr>
          <w:rFonts w:ascii="Book Antiqua" w:hAnsi="Book Antiqua" w:cs="Book Antiqua"/>
          <w:color w:val="FF0000"/>
          <w:spacing w:val="-4"/>
        </w:rPr>
        <w:t xml:space="preserve"> </w:t>
      </w:r>
      <w:r>
        <w:rPr>
          <w:rFonts w:ascii="Book Antiqua" w:hAnsi="Book Antiqua" w:cs="Book Antiqua"/>
          <w:color w:val="000000"/>
          <w:spacing w:val="-4"/>
        </w:rPr>
        <w:t>présentant un caractère de correspondance par rapport à celle de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qualifiante ou complémentaire.</w:t>
      </w:r>
    </w:p>
    <w:p>
      <w:pPr>
        <w:tabs>
          <w:tab w:val="left" w:pos="-1440"/>
          <w:tab w:val="left" w:pos="-720"/>
        </w:tabs>
        <w:jc w:val="both"/>
        <w:rPr>
          <w:rFonts w:ascii="Book Antiqua" w:hAnsi="Book Antiqua" w:cs="Book Antiqua"/>
          <w:color w:val="000000"/>
          <w:spacing w:val="-4"/>
        </w:rPr>
      </w:pPr>
    </w:p>
    <w:p>
      <w:pPr>
        <w:tabs>
          <w:tab w:val="left" w:pos="-1440"/>
          <w:tab w:val="left" w:pos="-720"/>
          <w:tab w:val="left" w:pos="4820"/>
        </w:tabs>
        <w:spacing w:before="240" w:after="240"/>
        <w:ind w:left="1843"/>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TQ:</w:t>
      </w:r>
    </w:p>
    <w:p>
      <w:pPr>
        <w:numPr>
          <w:ilvl w:val="0"/>
          <w:numId w:val="3"/>
        </w:numPr>
        <w:tabs>
          <w:tab w:val="clear" w:pos="360"/>
          <w:tab w:val="left" w:pos="-1440"/>
          <w:tab w:val="left" w:pos="-720"/>
          <w:tab w:val="left" w:pos="993"/>
          <w:tab w:val="num" w:pos="1069"/>
          <w:tab w:val="left" w:pos="1780"/>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87"/>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88"/>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w:t>
      </w:r>
    </w:p>
    <w:p>
      <w:pPr>
        <w:tabs>
          <w:tab w:val="left" w:pos="-1440"/>
          <w:tab w:val="left" w:pos="-720"/>
          <w:tab w:val="left" w:pos="1583"/>
        </w:tabs>
        <w:ind w:left="709"/>
        <w:jc w:val="both"/>
        <w:rPr>
          <w:rFonts w:ascii="Book Antiqua" w:hAnsi="Book Antiqua" w:cs="Book Antiqua"/>
          <w:color w:val="000000"/>
          <w:spacing w:val="-4"/>
        </w:rPr>
      </w:pPr>
    </w:p>
    <w:p>
      <w:pPr>
        <w:tabs>
          <w:tab w:val="left" w:pos="-1440"/>
          <w:tab w:val="left" w:pos="-720"/>
          <w:tab w:val="left" w:pos="2572"/>
        </w:tabs>
        <w:spacing w:after="240"/>
        <w:ind w:left="2127"/>
        <w:jc w:val="both"/>
        <w:rPr>
          <w:rFonts w:ascii="Book Antiqua" w:hAnsi="Book Antiqua" w:cs="Book Antiqua"/>
          <w:color w:val="000000"/>
          <w:spacing w:val="-4"/>
        </w:rPr>
      </w:pPr>
      <w:r>
        <w:rPr>
          <w:rFonts w:ascii="Book Antiqua" w:hAnsi="Book Antiqua" w:cs="Book Antiqua"/>
          <w:color w:val="000000"/>
          <w:spacing w:val="-4"/>
        </w:rPr>
        <w:br w:type="page"/>
      </w: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lastRenderedPageBreak/>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89"/>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 xml:space="preserve">soit une convention de premier emploi de type 2 ou 3 liée à un contrat  soit toute autre forme de contrat ou de convention reconnue par la législation du travail et s’inscrivant dans le cadre d’une formation en alternance qui aura reçu l’approbation du Gouvernement de la Fédération Wallonie-Bruxelles. </w:t>
      </w:r>
    </w:p>
    <w:p>
      <w:pPr>
        <w:tabs>
          <w:tab w:val="left" w:pos="-1440"/>
          <w:tab w:val="left" w:pos="-720"/>
          <w:tab w:val="left" w:pos="1418"/>
        </w:tabs>
        <w:spacing w:before="240" w:after="120"/>
        <w:ind w:left="1418"/>
        <w:jc w:val="both"/>
        <w:rPr>
          <w:rFonts w:ascii="Book Antiqua" w:hAnsi="Book Antiqua" w:cs="Book Antiqua"/>
          <w:color w:val="000000"/>
        </w:rPr>
      </w:pPr>
      <w:r>
        <w:rPr>
          <w:rFonts w:ascii="Book Antiqua" w:hAnsi="Book Antiqua" w:cs="Book Antiqua"/>
          <w:color w:val="000000"/>
        </w:rPr>
        <w:t>Les correspondances entre les 5</w:t>
      </w:r>
      <w:r>
        <w:rPr>
          <w:rFonts w:ascii="Book Antiqua" w:hAnsi="Book Antiqua" w:cs="Book Antiqua"/>
          <w:color w:val="000000"/>
          <w:vertAlign w:val="superscript"/>
        </w:rPr>
        <w:t>ème</w:t>
      </w:r>
      <w:r>
        <w:rPr>
          <w:rFonts w:ascii="Book Antiqua" w:hAnsi="Book Antiqua" w:cs="Book Antiqua"/>
          <w:color w:val="000000"/>
        </w:rPr>
        <w:t xml:space="preserve"> et 6</w:t>
      </w:r>
      <w:r>
        <w:rPr>
          <w:rFonts w:ascii="Book Antiqua" w:hAnsi="Book Antiqua" w:cs="Book Antiqua"/>
          <w:color w:val="000000"/>
          <w:vertAlign w:val="superscript"/>
        </w:rPr>
        <w:t>ème</w:t>
      </w:r>
      <w:r>
        <w:rPr>
          <w:rFonts w:ascii="Book Antiqua" w:hAnsi="Book Antiqua" w:cs="Book Antiqua"/>
          <w:color w:val="000000"/>
        </w:rPr>
        <w:t xml:space="preserve"> années ainsi qu’entre les 6</w:t>
      </w:r>
      <w:r>
        <w:rPr>
          <w:rFonts w:ascii="Book Antiqua" w:hAnsi="Book Antiqua" w:cs="Book Antiqua"/>
          <w:color w:val="000000"/>
          <w:vertAlign w:val="superscript"/>
        </w:rPr>
        <w:t>ème</w:t>
      </w:r>
      <w:r>
        <w:rPr>
          <w:rFonts w:ascii="Book Antiqua" w:hAnsi="Book Antiqua" w:cs="Book Antiqua"/>
          <w:color w:val="000000"/>
        </w:rPr>
        <w:t xml:space="preserve"> et 7</w:t>
      </w:r>
      <w:r>
        <w:rPr>
          <w:rFonts w:ascii="Book Antiqua" w:hAnsi="Book Antiqua" w:cs="Book Antiqua"/>
          <w:color w:val="000000"/>
          <w:vertAlign w:val="superscript"/>
        </w:rPr>
        <w:t>ème</w:t>
      </w:r>
      <w:r>
        <w:rPr>
          <w:rFonts w:ascii="Book Antiqua" w:hAnsi="Book Antiqua" w:cs="Book Antiqua"/>
          <w:color w:val="000000"/>
        </w:rPr>
        <w:t xml:space="preserve"> années seront effectuées dans le respect des tableaux présentés au tome 2 de la </w:t>
      </w:r>
      <w:r>
        <w:rPr>
          <w:rFonts w:ascii="Book Antiqua" w:hAnsi="Book Antiqua" w:cs="Arial"/>
          <w:bCs/>
        </w:rPr>
        <w:t>Circulaire annuelle générale relative à l’Organisation de l’enseignement secondaire ordinaire et à la Sanction des études »</w:t>
      </w:r>
      <w:r>
        <w:rPr>
          <w:rFonts w:ascii="Book Antiqua" w:hAnsi="Book Antiqua" w:cs="Book Antiqua"/>
        </w:rPr>
        <w:t>.</w:t>
      </w:r>
    </w:p>
    <w:p>
      <w:pPr>
        <w:tabs>
          <w:tab w:val="left" w:pos="-1440"/>
          <w:tab w:val="left" w:pos="-720"/>
          <w:tab w:val="left" w:pos="1418"/>
        </w:tabs>
        <w:ind w:left="1418"/>
        <w:jc w:val="both"/>
        <w:rPr>
          <w:rFonts w:ascii="Book Antiqua" w:hAnsi="Book Antiqua" w:cs="Book Antiqua"/>
          <w:spacing w:val="-4"/>
        </w:rPr>
      </w:pPr>
      <w:r>
        <w:rPr>
          <w:rFonts w:ascii="Book Antiqua" w:hAnsi="Book Antiqua" w:cs="Book Antiqua"/>
          <w:spacing w:val="-4"/>
        </w:rPr>
        <w:t>Les 7</w:t>
      </w:r>
      <w:r>
        <w:rPr>
          <w:rFonts w:ascii="Book Antiqua" w:hAnsi="Book Antiqua" w:cs="Book Antiqua"/>
          <w:spacing w:val="-4"/>
          <w:vertAlign w:val="superscript"/>
        </w:rPr>
        <w:t>èmes</w:t>
      </w:r>
      <w:r>
        <w:rPr>
          <w:rFonts w:ascii="Book Antiqua" w:hAnsi="Book Antiqua" w:cs="Book Antiqua"/>
          <w:spacing w:val="-4"/>
        </w:rPr>
        <w:t xml:space="preserve"> années « Complémentaires » et « Qualifiantes » de l’enseignement technique et de l’enseignement professionnel sont classées en options :</w:t>
      </w:r>
    </w:p>
    <w:p>
      <w:pPr>
        <w:tabs>
          <w:tab w:val="left" w:pos="-1440"/>
          <w:tab w:val="left" w:pos="-720"/>
          <w:tab w:val="left" w:pos="1418"/>
        </w:tabs>
        <w:ind w:left="1843" w:hanging="283"/>
        <w:jc w:val="both"/>
        <w:rPr>
          <w:rFonts w:ascii="Book Antiqua" w:hAnsi="Book Antiqua" w:cs="Book Antiqua"/>
          <w:spacing w:val="-4"/>
        </w:rPr>
      </w:pPr>
      <w:r>
        <w:rPr>
          <w:rFonts w:ascii="Book Antiqua" w:hAnsi="Book Antiqua" w:cs="Book Antiqua"/>
          <w:spacing w:val="-4"/>
        </w:rPr>
        <w:t>1° dont l’accès est limité aux élèves porteurs d’un certificat de qualification particulier (Options classées Limitées (L)) ;</w:t>
      </w:r>
    </w:p>
    <w:p>
      <w:pPr>
        <w:tabs>
          <w:tab w:val="left" w:pos="-1440"/>
          <w:tab w:val="left" w:pos="-720"/>
          <w:tab w:val="left" w:pos="1134"/>
          <w:tab w:val="left" w:pos="1418"/>
        </w:tabs>
        <w:ind w:left="1843" w:hanging="283"/>
        <w:jc w:val="both"/>
        <w:rPr>
          <w:rFonts w:ascii="Book Antiqua" w:hAnsi="Book Antiqua" w:cs="Book Antiqua"/>
          <w:spacing w:val="-4"/>
        </w:rPr>
      </w:pPr>
      <w:r>
        <w:rPr>
          <w:rFonts w:ascii="Book Antiqua" w:hAnsi="Book Antiqua" w:cs="Book Antiqua"/>
          <w:spacing w:val="-4"/>
        </w:rPr>
        <w:t>2° dont l’accès est limité aux élèves porteurs d’un certificat de qualification (Options classées Semi-ouvertes (S-O)) ;</w:t>
      </w:r>
    </w:p>
    <w:p>
      <w:pPr>
        <w:pStyle w:val="Commentaire1"/>
        <w:spacing w:after="260"/>
        <w:ind w:left="1843" w:hanging="284"/>
        <w:jc w:val="both"/>
        <w:rPr>
          <w:rFonts w:ascii="Book Antiqua" w:hAnsi="Book Antiqua" w:cs="Book Antiqua"/>
          <w:spacing w:val="-4"/>
        </w:rPr>
      </w:pPr>
      <w:r>
        <w:rPr>
          <w:rFonts w:ascii="Book Antiqua" w:hAnsi="Book Antiqua" w:cs="Book Antiqua"/>
          <w:spacing w:val="-4"/>
        </w:rPr>
        <w:t>3° dont l’accès est ouvert à tous les élèves qui ont réussi une 6ème année de l’enseignement secondaire (Options classées Ouvertes (O)).</w:t>
      </w:r>
      <w:r>
        <w:rPr>
          <w:vertAlign w:val="superscript"/>
        </w:rPr>
        <w:footnoteReference w:id="90"/>
      </w:r>
    </w:p>
    <w:p>
      <w:pPr>
        <w:pStyle w:val="niveau5"/>
        <w:ind w:left="1418"/>
        <w:rPr>
          <w:color w:val="000000"/>
          <w:spacing w:val="-4"/>
        </w:rPr>
      </w:pPr>
      <w:r>
        <w:rPr>
          <w:sz w:val="28"/>
          <w:szCs w:val="28"/>
        </w:rPr>
        <w:br w:type="page"/>
      </w:r>
      <w:r>
        <w:rPr>
          <w:sz w:val="28"/>
          <w:szCs w:val="28"/>
        </w:rPr>
        <w:lastRenderedPageBreak/>
        <w:t>2.3. Changement de forme d’enseignement et de subdivision en cours d’année scolaire, formations « article 49 »</w:t>
      </w:r>
      <w:r>
        <w:rPr>
          <w:rStyle w:val="Caractresdenotedebasdepage"/>
          <w:rFonts w:cs="Book Antiqua"/>
          <w:color w:val="000000"/>
          <w:spacing w:val="-4"/>
          <w:sz w:val="28"/>
          <w:szCs w:val="28"/>
        </w:rPr>
        <w:footnoteReference w:id="91"/>
      </w:r>
    </w:p>
    <w:p>
      <w:pPr>
        <w:tabs>
          <w:tab w:val="left" w:pos="-1440"/>
          <w:tab w:val="left" w:pos="-720"/>
          <w:tab w:val="left" w:pos="4820"/>
        </w:tabs>
        <w:spacing w:after="60"/>
        <w:ind w:left="1838"/>
        <w:jc w:val="both"/>
        <w:rPr>
          <w:rFonts w:ascii="Book Antiqua" w:hAnsi="Book Antiqua" w:cs="Book Antiqua"/>
          <w:color w:val="000000"/>
          <w:spacing w:val="-4"/>
        </w:rPr>
      </w:pPr>
      <w:r>
        <w:rPr>
          <w:rFonts w:ascii="Book Antiqua" w:hAnsi="Book Antiqua" w:cs="Book Antiqua"/>
          <w:color w:val="000000"/>
          <w:spacing w:val="-4"/>
        </w:rPr>
        <w:t>Sans déroger aux conditions d’admission dans l’année considérée, les changements de forme d’enseignement et de subdivision sont autorisés (ne nécessitent pas l’autorisation de la Direction générale de l’enseignement obligatoire) :</w:t>
      </w:r>
    </w:p>
    <w:p>
      <w:pPr>
        <w:numPr>
          <w:ilvl w:val="0"/>
          <w:numId w:val="1"/>
        </w:numPr>
        <w:tabs>
          <w:tab w:val="left" w:pos="-1440"/>
          <w:tab w:val="left" w:pos="-720"/>
          <w:tab w:val="num" w:pos="914"/>
          <w:tab w:val="left" w:pos="1549"/>
          <w:tab w:val="left" w:pos="4820"/>
        </w:tabs>
        <w:spacing w:after="60"/>
        <w:ind w:left="2258"/>
        <w:jc w:val="both"/>
        <w:rPr>
          <w:rFonts w:ascii="Book Antiqua" w:hAnsi="Book Antiqua" w:cs="Book Antiqua"/>
          <w:color w:val="000000"/>
          <w:spacing w:val="-4"/>
        </w:rPr>
      </w:pPr>
      <w:r>
        <w:rPr>
          <w:rFonts w:ascii="Book Antiqua" w:hAnsi="Book Antiqua" w:cs="Book Antiqua"/>
          <w:color w:val="000000"/>
          <w:spacing w:val="-4"/>
        </w:rPr>
        <w:t>jusqu’au 15 janvier, en 3</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et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années ;</w:t>
      </w:r>
    </w:p>
    <w:p>
      <w:pPr>
        <w:numPr>
          <w:ilvl w:val="0"/>
          <w:numId w:val="1"/>
        </w:numPr>
        <w:tabs>
          <w:tab w:val="left" w:pos="-1440"/>
          <w:tab w:val="left" w:pos="-720"/>
          <w:tab w:val="num" w:pos="914"/>
          <w:tab w:val="left" w:pos="1549"/>
          <w:tab w:val="left" w:pos="4820"/>
        </w:tabs>
        <w:spacing w:after="60"/>
        <w:ind w:left="2258"/>
        <w:jc w:val="both"/>
        <w:rPr>
          <w:rFonts w:ascii="Book Antiqua" w:hAnsi="Book Antiqua" w:cs="Book Antiqua"/>
          <w:color w:val="000000"/>
          <w:spacing w:val="-4"/>
        </w:rPr>
      </w:pPr>
      <w:r>
        <w:rPr>
          <w:rFonts w:ascii="Book Antiqua" w:hAnsi="Book Antiqua" w:cs="Book Antiqua"/>
          <w:color w:val="000000"/>
          <w:spacing w:val="-4"/>
        </w:rPr>
        <w:t xml:space="preserve">jusqu’au 15 </w:t>
      </w:r>
      <w:r>
        <w:rPr>
          <w:rFonts w:ascii="Book Antiqua" w:hAnsi="Book Antiqua" w:cs="Book Antiqua"/>
          <w:spacing w:val="-4"/>
        </w:rPr>
        <w:t>novembre,</w:t>
      </w:r>
      <w:r>
        <w:rPr>
          <w:rFonts w:ascii="Book Antiqua" w:hAnsi="Book Antiqua" w:cs="Book Antiqua"/>
          <w:color w:val="000000"/>
          <w:spacing w:val="-4"/>
        </w:rPr>
        <w:t xml:space="preserve"> en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technique de qualification et professionnel, ainsi qu’en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Professionnelle et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Technique de Qualification</w:t>
      </w:r>
      <w:r>
        <w:rPr>
          <w:rFonts w:ascii="Book Antiqua" w:hAnsi="Book Antiqua" w:cs="CenturySchoolbook"/>
          <w:lang w:eastAsia="fr-FR"/>
        </w:rPr>
        <w:t>.</w:t>
      </w:r>
    </w:p>
    <w:p>
      <w:pPr>
        <w:tabs>
          <w:tab w:val="left" w:pos="-1440"/>
          <w:tab w:val="left" w:pos="-720"/>
          <w:tab w:val="left" w:pos="1549"/>
          <w:tab w:val="left" w:pos="4820"/>
        </w:tabs>
        <w:spacing w:after="60"/>
        <w:ind w:left="1838"/>
        <w:jc w:val="both"/>
        <w:rPr>
          <w:rFonts w:ascii="Book Antiqua" w:hAnsi="Book Antiqua" w:cs="Book Antiqua"/>
          <w:color w:val="000000"/>
          <w:spacing w:val="-4"/>
        </w:rPr>
      </w:pPr>
    </w:p>
    <w:p>
      <w:pPr>
        <w:tabs>
          <w:tab w:val="left" w:pos="-1440"/>
          <w:tab w:val="left" w:pos="-720"/>
        </w:tabs>
        <w:spacing w:after="240"/>
        <w:ind w:left="1838"/>
        <w:jc w:val="both"/>
        <w:rPr>
          <w:rFonts w:ascii="Book Antiqua" w:hAnsi="Book Antiqua"/>
          <w:lang w:val="fr-BE"/>
        </w:rPr>
      </w:pPr>
      <w:r>
        <w:rPr>
          <w:rFonts w:ascii="Book Antiqua" w:hAnsi="Book Antiqua" w:cs="Book Antiqua"/>
          <w:b/>
          <w:bCs/>
          <w:color w:val="000000"/>
          <w:spacing w:val="-4"/>
        </w:rPr>
        <w:t>Au-delà de ces dates, les changements de forme d’enseignement ou de subdivision nécessitent l’introduction d’une demande de dérogation</w:t>
      </w:r>
      <w:bookmarkStart w:id="34" w:name="_RefF0"/>
      <w:r>
        <w:rPr>
          <w:rStyle w:val="Appelnotedebasdep"/>
          <w:rFonts w:ascii="Book Antiqua" w:hAnsi="Book Antiqua" w:cs="Book Antiqua"/>
          <w:b/>
          <w:bCs/>
          <w:color w:val="000000"/>
          <w:spacing w:val="-4"/>
        </w:rPr>
        <w:footnoteReference w:id="92"/>
      </w:r>
      <w:bookmarkEnd w:id="34"/>
      <w:r>
        <w:rPr>
          <w:rFonts w:ascii="Book Antiqua" w:hAnsi="Book Antiqua" w:cs="Book Antiqua"/>
          <w:b/>
          <w:bCs/>
          <w:color w:val="000000"/>
          <w:spacing w:val="-4"/>
        </w:rPr>
        <w:t xml:space="preserve"> telle que prévue à l’article 56,1° de l’arrêté royal du 29 juin 1984 relatif à l’organisation de l’enseignement secondaire. </w:t>
      </w:r>
      <w:r>
        <w:rPr>
          <w:rFonts w:ascii="Book Antiqua" w:hAnsi="Book Antiqua"/>
          <w:lang w:val="fr-BE"/>
        </w:rPr>
        <w:t>Cette dérogation sera introduite  via le formulaire électronique accessible à l’adresse suivante :</w:t>
      </w:r>
    </w:p>
    <w:p>
      <w:pPr>
        <w:tabs>
          <w:tab w:val="left" w:pos="-1440"/>
          <w:tab w:val="left" w:pos="-720"/>
        </w:tabs>
        <w:spacing w:after="240"/>
        <w:ind w:left="1838"/>
        <w:jc w:val="both"/>
        <w:rPr>
          <w:rFonts w:ascii="Book Antiqua" w:hAnsi="Book Antiqua"/>
          <w:lang w:val="fr-BE"/>
        </w:rPr>
      </w:pPr>
      <w:r>
        <w:rPr>
          <w:rFonts w:ascii="Book Antiqua" w:hAnsi="Book Antiqua"/>
          <w:lang w:val="fr-BE"/>
        </w:rPr>
        <w:t xml:space="preserve"> </w:t>
      </w:r>
      <w:hyperlink r:id="rId24" w:history="1">
        <w:r>
          <w:rPr>
            <w:rStyle w:val="Lienhypertexte"/>
            <w:rFonts w:ascii="Book Antiqua" w:hAnsi="Book Antiqua"/>
            <w:lang w:val="fr-BE"/>
          </w:rPr>
          <w:t>https://www.enseignement.cfwb.be/DEROGATION_WEB/sanctions_etudes</w:t>
        </w:r>
      </w:hyperlink>
      <w:r>
        <w:rPr>
          <w:rFonts w:ascii="Book Antiqua" w:hAnsi="Book Antiqua"/>
          <w:lang w:val="fr-BE"/>
        </w:rPr>
        <w:t xml:space="preserve"> </w:t>
      </w:r>
    </w:p>
    <w:p>
      <w:pPr>
        <w:tabs>
          <w:tab w:val="left" w:pos="-1440"/>
          <w:tab w:val="left" w:pos="-720"/>
        </w:tabs>
        <w:spacing w:after="240"/>
        <w:ind w:left="1838"/>
        <w:jc w:val="both"/>
        <w:rPr>
          <w:rFonts w:ascii="Book Antiqua" w:hAnsi="Book Antiqua" w:cs="Book Antiqua"/>
          <w:b/>
          <w:bCs/>
          <w:color w:val="000000"/>
          <w:spacing w:val="-4"/>
        </w:rPr>
      </w:pPr>
      <w:r>
        <w:rPr>
          <w:rFonts w:ascii="Book Antiqua" w:hAnsi="Book Antiqua" w:cs="Book Antiqua"/>
          <w:b/>
          <w:bCs/>
          <w:color w:val="000000"/>
          <w:spacing w:val="-4"/>
        </w:rPr>
        <w:t>.</w:t>
      </w:r>
    </w:p>
    <w:p>
      <w:pPr>
        <w:pStyle w:val="niveau3"/>
        <w:pageBreakBefore/>
        <w:ind w:left="709"/>
      </w:pPr>
      <w:bookmarkStart w:id="35" w:name="_Toc522700760"/>
      <w:r>
        <w:lastRenderedPageBreak/>
        <w:t xml:space="preserve">III. </w:t>
      </w:r>
      <w:r>
        <w:rPr>
          <w:u w:val="single"/>
        </w:rPr>
        <w:t>Passage de l’ENSEIGNEMENT SECONDAIRE SPECIALISE de plein exercice vers l’enseignement secondaire ordinaire EN ALTERNANCE</w:t>
      </w:r>
      <w:bookmarkEnd w:id="35"/>
      <w:r>
        <w:t xml:space="preserve"> </w:t>
      </w:r>
    </w:p>
    <w:p>
      <w:pPr>
        <w:pStyle w:val="niveau4"/>
        <w:ind w:left="709"/>
        <w:rPr>
          <w:rFonts w:cs="Book Antiqua"/>
        </w:rPr>
      </w:pPr>
      <w:bookmarkStart w:id="36" w:name="_Toc522700761"/>
      <w:r>
        <w:rPr>
          <w:bCs w:val="0"/>
          <w:sz w:val="22"/>
        </w:rPr>
        <w:t xml:space="preserve">1. Conditions de passage de l’enseignement primaire spécialisé et de l’enseignement secondaire spécialisé de forme 3 vers l’enseignement ordinaire </w:t>
      </w:r>
      <w:r>
        <w:rPr>
          <w:bCs w:val="0"/>
          <w:sz w:val="22"/>
          <w:szCs w:val="30"/>
        </w:rPr>
        <w:t>des élèves porteurs du CEB</w:t>
      </w:r>
      <w:bookmarkEnd w:id="36"/>
      <w:r>
        <w:rPr>
          <w:bCs w:val="0"/>
          <w:sz w:val="22"/>
        </w:rPr>
        <w:t xml:space="preserve"> </w:t>
      </w:r>
    </w:p>
    <w:p>
      <w:pPr>
        <w:suppressAutoHyphens w:val="0"/>
        <w:autoSpaceDE w:val="0"/>
        <w:autoSpaceDN w:val="0"/>
        <w:adjustRightInd w:val="0"/>
        <w:ind w:left="709"/>
        <w:rPr>
          <w:rFonts w:cs="Book Antiqua"/>
        </w:rPr>
      </w:pPr>
    </w:p>
    <w:p>
      <w:pPr>
        <w:spacing w:after="120"/>
        <w:jc w:val="both"/>
        <w:rPr>
          <w:rFonts w:ascii="Book Antiqua" w:hAnsi="Book Antiqua" w:cs="Book Antiqua"/>
        </w:rPr>
      </w:pPr>
      <w:r>
        <w:rPr>
          <w:rFonts w:ascii="Book Antiqua" w:hAnsi="Book Antiqua" w:cs="Book Antiqua"/>
        </w:rPr>
        <w:t>Remarque générale : le passage de l’enseignement spécialisé vers l’enseignement secondaire ordinaire nécessite le respect de 3 conditions cumulatives :</w:t>
      </w:r>
    </w:p>
    <w:p>
      <w:pPr>
        <w:pStyle w:val="Paragraphedeliste1"/>
        <w:numPr>
          <w:ilvl w:val="1"/>
          <w:numId w:val="38"/>
        </w:numPr>
        <w:tabs>
          <w:tab w:val="clear" w:pos="0"/>
          <w:tab w:val="num" w:pos="709"/>
        </w:tabs>
        <w:spacing w:after="120"/>
        <w:ind w:left="2149"/>
        <w:rPr>
          <w:rFonts w:ascii="Book Antiqua" w:hAnsi="Book Antiqua" w:cs="Book Antiqua"/>
          <w:sz w:val="20"/>
          <w:szCs w:val="20"/>
        </w:rPr>
      </w:pPr>
      <w:r>
        <w:rPr>
          <w:rFonts w:ascii="Book Antiqua" w:hAnsi="Book Antiqua" w:cs="Book Antiqua"/>
          <w:sz w:val="20"/>
          <w:szCs w:val="20"/>
        </w:rPr>
        <w:t>la demande écrite des parents, de la personne exerçant l’autorité parentale ou de l’élève, s’il est majeur;</w:t>
      </w:r>
    </w:p>
    <w:p>
      <w:pPr>
        <w:pStyle w:val="Paragraphedeliste1"/>
        <w:numPr>
          <w:ilvl w:val="1"/>
          <w:numId w:val="38"/>
        </w:numPr>
        <w:tabs>
          <w:tab w:val="clear" w:pos="0"/>
          <w:tab w:val="num" w:pos="709"/>
        </w:tabs>
        <w:spacing w:after="120"/>
        <w:ind w:left="2149"/>
        <w:rPr>
          <w:rFonts w:ascii="Book Antiqua" w:hAnsi="Book Antiqua" w:cs="Book Antiqua"/>
          <w:sz w:val="20"/>
          <w:szCs w:val="20"/>
        </w:rPr>
      </w:pPr>
      <w:r>
        <w:rPr>
          <w:rFonts w:ascii="Book Antiqua" w:hAnsi="Book Antiqua" w:cs="Book Antiqua"/>
          <w:sz w:val="20"/>
          <w:szCs w:val="20"/>
        </w:rPr>
        <w:t>l’avis motivé de l’organisme chargé de la guidance des élèves de l’établissement spécialisé concerné;</w:t>
      </w:r>
    </w:p>
    <w:p>
      <w:pPr>
        <w:pStyle w:val="Paragraphedeliste1"/>
        <w:numPr>
          <w:ilvl w:val="1"/>
          <w:numId w:val="38"/>
        </w:numPr>
        <w:tabs>
          <w:tab w:val="clear" w:pos="0"/>
          <w:tab w:val="num" w:pos="709"/>
        </w:tabs>
        <w:spacing w:after="120"/>
        <w:ind w:left="2149"/>
        <w:rPr>
          <w:rFonts w:ascii="Book Antiqua" w:hAnsi="Book Antiqua" w:cs="Book Antiqua"/>
          <w:b/>
        </w:rPr>
      </w:pPr>
      <w:r>
        <w:rPr>
          <w:rFonts w:ascii="Book Antiqua" w:hAnsi="Book Antiqua" w:cs="Book Antiqua"/>
          <w:sz w:val="20"/>
          <w:szCs w:val="20"/>
        </w:rPr>
        <w:t>l’avis favorable du conseil d’admission de l’école d’accueil.</w:t>
      </w:r>
    </w:p>
    <w:tbl>
      <w:tblPr>
        <w:tblW w:w="9723" w:type="dxa"/>
        <w:jc w:val="center"/>
        <w:tblLayout w:type="fixed"/>
        <w:tblLook w:val="0000" w:firstRow="0" w:lastRow="0" w:firstColumn="0" w:lastColumn="0" w:noHBand="0" w:noVBand="0"/>
      </w:tblPr>
      <w:tblGrid>
        <w:gridCol w:w="2233"/>
        <w:gridCol w:w="2615"/>
        <w:gridCol w:w="2561"/>
        <w:gridCol w:w="2314"/>
      </w:tblGrid>
      <w:tr>
        <w:trPr>
          <w:jc w:val="center"/>
        </w:trPr>
        <w:tc>
          <w:tcPr>
            <w:tcW w:w="2233"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Situation scolaire de l’élève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Année d’étude de l’enseignement secondaire ordinaire (plein exercice) ou de l’enseignement spécialisé de Forme 4 où l’élève peut être inscrit(e)</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Année d’étude de l’enseignement secondaire ordinaire (alternance art.49) où l’élève peut être inscrit(e)</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b/>
              </w:rPr>
              <w:t xml:space="preserve">Niveau de l’enseignement secondaire en alternance (art.45, formations en urgence, MFI) où l’élève peut être inscrit(e) </w:t>
            </w:r>
            <w:r>
              <w:rPr>
                <w:rFonts w:ascii="Book Antiqua" w:hAnsi="Book Antiqua" w:cs="Book Antiqua"/>
                <w:b/>
                <w:vertAlign w:val="superscript"/>
              </w:rPr>
              <w:t>(4)</w:t>
            </w:r>
          </w:p>
        </w:tc>
      </w:tr>
      <w:tr>
        <w:trPr>
          <w:jc w:val="center"/>
        </w:trPr>
        <w:tc>
          <w:tcPr>
            <w:tcW w:w="2233" w:type="dxa"/>
            <w:tcBorders>
              <w:top w:val="single" w:sz="4" w:space="0" w:color="000000"/>
              <w:left w:val="single" w:sz="4" w:space="0" w:color="000000"/>
              <w:bottom w:val="single" w:sz="4" w:space="0" w:color="000000"/>
            </w:tcBorders>
            <w:vAlign w:val="center"/>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 xml:space="preserve">1C </w:t>
            </w:r>
            <w:r>
              <w:rPr>
                <w:rFonts w:ascii="Book Antiqua" w:hAnsi="Book Antiqua" w:cs="Book Antiqua"/>
                <w:vertAlign w:val="superscript"/>
              </w:rPr>
              <w:t>(1)</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Accès refusé</w:t>
            </w:r>
          </w:p>
        </w:tc>
      </w:tr>
      <w:tr>
        <w:trPr>
          <w:jc w:val="center"/>
        </w:trPr>
        <w:tc>
          <w:tcPr>
            <w:tcW w:w="2233" w:type="dxa"/>
            <w:tcBorders>
              <w:top w:val="single" w:sz="4" w:space="0" w:color="000000"/>
              <w:left w:val="single" w:sz="4" w:space="0" w:color="000000"/>
              <w:bottom w:val="single" w:sz="4" w:space="0" w:color="000000"/>
            </w:tcBorders>
            <w:vAlign w:val="center"/>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 ayant fréquenté 2 années scolaires complètes + 15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2C- 2S</w:t>
            </w:r>
            <w:r>
              <w:rPr>
                <w:rFonts w:ascii="Book Antiqua" w:hAnsi="Book Antiqua" w:cs="Book Antiqua"/>
                <w:vertAlign w:val="superscript"/>
              </w:rPr>
              <w:t xml:space="preserve"> </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b/>
                <w:vertAlign w:val="superscript"/>
              </w:rPr>
              <w:t>(3)</w:t>
            </w:r>
          </w:p>
        </w:tc>
      </w:tr>
      <w:tr>
        <w:trPr>
          <w:jc w:val="center"/>
        </w:trPr>
        <w:tc>
          <w:tcPr>
            <w:tcW w:w="2233" w:type="dxa"/>
            <w:tcBorders>
              <w:top w:val="single" w:sz="4" w:space="0" w:color="000000"/>
              <w:left w:val="single" w:sz="4" w:space="0" w:color="000000"/>
              <w:bottom w:val="single" w:sz="4" w:space="0" w:color="000000"/>
            </w:tcBorders>
            <w:vAlign w:val="center"/>
          </w:tcPr>
          <w:p>
            <w:pPr>
              <w:snapToGrid w:val="0"/>
              <w:jc w:val="both"/>
              <w:rPr>
                <w:rFonts w:ascii="Book Antiqua" w:hAnsi="Book Antiqua" w:cs="Book Antiqua"/>
              </w:rPr>
            </w:pPr>
            <w:r>
              <w:rPr>
                <w:rFonts w:ascii="Book Antiqua" w:hAnsi="Book Antiqua" w:cs="Book Antiqua"/>
                <w:b/>
              </w:rPr>
              <w:t>Elève ayant réussi la 1</w:t>
            </w:r>
            <w:r>
              <w:rPr>
                <w:rFonts w:ascii="Book Antiqua" w:hAnsi="Book Antiqua" w:cs="Book Antiqua"/>
                <w:b/>
                <w:vertAlign w:val="superscript"/>
              </w:rPr>
              <w:t>ère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2C- 2S</w:t>
            </w:r>
            <w:r>
              <w:rPr>
                <w:rFonts w:ascii="Book Antiqua" w:hAnsi="Book Antiqua" w:cs="Book Antiqua"/>
                <w:vertAlign w:val="superscript"/>
              </w:rPr>
              <w:t xml:space="preserve"> </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Accès refusé</w:t>
            </w:r>
          </w:p>
        </w:tc>
      </w:tr>
      <w:tr>
        <w:trPr>
          <w:jc w:val="center"/>
        </w:trPr>
        <w:tc>
          <w:tcPr>
            <w:tcW w:w="2233" w:type="dxa"/>
            <w:tcBorders>
              <w:top w:val="single" w:sz="4" w:space="0" w:color="000000"/>
              <w:left w:val="single" w:sz="4" w:space="0" w:color="000000"/>
              <w:bottom w:val="single" w:sz="4" w:space="0" w:color="000000"/>
            </w:tcBorders>
            <w:vAlign w:val="center"/>
          </w:tcPr>
          <w:p>
            <w:pPr>
              <w:keepNext/>
              <w:tabs>
                <w:tab w:val="num" w:pos="6"/>
                <w:tab w:val="center" w:pos="1349"/>
              </w:tabs>
              <w:snapToGrid w:val="0"/>
              <w:ind w:left="6" w:hanging="6"/>
              <w:jc w:val="both"/>
              <w:outlineLvl w:val="0"/>
              <w:rPr>
                <w:rFonts w:ascii="Book Antiqua" w:hAnsi="Book Antiqua" w:cs="Book Antiqua"/>
              </w:rPr>
            </w:pPr>
            <w:r>
              <w:rPr>
                <w:rFonts w:ascii="Book Antiqua" w:hAnsi="Book Antiqua" w:cs="Book Antiqua"/>
                <w:b/>
              </w:rPr>
              <w:t>Elève ayant réussi la 1ère phase en ayant fréquenté 2 années scolaires complètes + 15 ans accomplis</w:t>
            </w:r>
          </w:p>
        </w:tc>
        <w:tc>
          <w:tcPr>
            <w:tcW w:w="2615"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2C- 2S</w:t>
            </w:r>
            <w:r>
              <w:rPr>
                <w:rFonts w:ascii="Book Antiqua" w:hAnsi="Book Antiqua" w:cs="Book Antiqua"/>
                <w:vertAlign w:val="superscript"/>
              </w:rPr>
              <w:t xml:space="preserve"> </w:t>
            </w:r>
          </w:p>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 xml:space="preserve">3P </w:t>
            </w:r>
          </w:p>
        </w:tc>
        <w:tc>
          <w:tcPr>
            <w:tcW w:w="2561"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3P</w:t>
            </w:r>
          </w:p>
        </w:tc>
        <w:tc>
          <w:tcPr>
            <w:tcW w:w="2314" w:type="dxa"/>
            <w:tcBorders>
              <w:top w:val="single" w:sz="4" w:space="0" w:color="000000"/>
              <w:left w:val="single" w:sz="4" w:space="0" w:color="000000"/>
              <w:bottom w:val="single" w:sz="4" w:space="0" w:color="000000"/>
              <w:right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b/>
                <w:vertAlign w:val="superscript"/>
              </w:rPr>
              <w:t>(3)</w:t>
            </w:r>
          </w:p>
        </w:tc>
      </w:tr>
      <w:tr>
        <w:trPr>
          <w:jc w:val="center"/>
        </w:trPr>
        <w:tc>
          <w:tcPr>
            <w:tcW w:w="2233" w:type="dxa"/>
            <w:tcBorders>
              <w:top w:val="single" w:sz="4" w:space="0" w:color="000000"/>
              <w:left w:val="single" w:sz="4" w:space="0" w:color="000000"/>
              <w:bottom w:val="single" w:sz="4" w:space="0" w:color="000000"/>
            </w:tcBorders>
            <w:vAlign w:val="center"/>
          </w:tcPr>
          <w:p>
            <w:pPr>
              <w:keepNext/>
              <w:tabs>
                <w:tab w:val="num" w:pos="6"/>
                <w:tab w:val="center" w:pos="1349"/>
              </w:tabs>
              <w:snapToGrid w:val="0"/>
              <w:ind w:left="6" w:hanging="6"/>
              <w:jc w:val="both"/>
              <w:outlineLvl w:val="0"/>
              <w:rPr>
                <w:rFonts w:ascii="Book Antiqua" w:hAnsi="Book Antiqua" w:cs="Book Antiqua"/>
              </w:rPr>
            </w:pPr>
            <w:r>
              <w:rPr>
                <w:rFonts w:ascii="Book Antiqua" w:hAnsi="Book Antiqua" w:cs="Book Antiqua"/>
                <w:b/>
              </w:rPr>
              <w:t>Elève inscrit(e) en 2</w:t>
            </w:r>
            <w:r>
              <w:rPr>
                <w:rFonts w:ascii="Book Antiqua" w:hAnsi="Book Antiqua" w:cs="Book Antiqua"/>
                <w:b/>
                <w:vertAlign w:val="superscript"/>
              </w:rPr>
              <w:t>ème</w:t>
            </w:r>
            <w:r>
              <w:rPr>
                <w:rFonts w:ascii="Book Antiqua" w:hAnsi="Book Antiqua" w:cs="Book Antiqua"/>
                <w:b/>
              </w:rPr>
              <w:t xml:space="preserve"> phase ayant fréquenté 1 année scolaire complète en 2</w:t>
            </w:r>
            <w:r>
              <w:rPr>
                <w:rFonts w:ascii="Book Antiqua" w:hAnsi="Book Antiqua" w:cs="Book Antiqua"/>
                <w:b/>
                <w:vertAlign w:val="superscript"/>
              </w:rPr>
              <w:t>ème</w:t>
            </w:r>
            <w:r>
              <w:rPr>
                <w:rFonts w:ascii="Book Antiqua" w:hAnsi="Book Antiqua" w:cs="Book Antiqua"/>
                <w:b/>
              </w:rPr>
              <w:t xml:space="preserve"> phase + 15 ans accomplis</w:t>
            </w:r>
          </w:p>
        </w:tc>
        <w:tc>
          <w:tcPr>
            <w:tcW w:w="2615"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3P – 3S-DO</w:t>
            </w:r>
          </w:p>
        </w:tc>
        <w:tc>
          <w:tcPr>
            <w:tcW w:w="2561"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3P</w:t>
            </w:r>
          </w:p>
        </w:tc>
        <w:tc>
          <w:tcPr>
            <w:tcW w:w="2314" w:type="dxa"/>
            <w:tcBorders>
              <w:top w:val="single" w:sz="4" w:space="0" w:color="000000"/>
              <w:left w:val="single" w:sz="4" w:space="0" w:color="000000"/>
              <w:bottom w:val="single" w:sz="4" w:space="0" w:color="000000"/>
              <w:right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b/>
                <w:vertAlign w:val="superscript"/>
              </w:rPr>
              <w:t>(3)</w:t>
            </w:r>
          </w:p>
        </w:tc>
      </w:tr>
      <w:tr>
        <w:trPr>
          <w:jc w:val="center"/>
        </w:trPr>
        <w:tc>
          <w:tcPr>
            <w:tcW w:w="2233" w:type="dxa"/>
            <w:tcBorders>
              <w:top w:val="single" w:sz="4" w:space="0" w:color="000000"/>
              <w:left w:val="single" w:sz="4" w:space="0" w:color="000000"/>
              <w:bottom w:val="single" w:sz="4" w:space="0" w:color="000000"/>
            </w:tcBorders>
            <w:vAlign w:val="center"/>
          </w:tcPr>
          <w:p>
            <w:pPr>
              <w:keepNext/>
              <w:tabs>
                <w:tab w:val="num" w:pos="6"/>
                <w:tab w:val="center" w:pos="1349"/>
              </w:tabs>
              <w:snapToGrid w:val="0"/>
              <w:ind w:left="6" w:hanging="6"/>
              <w:jc w:val="both"/>
              <w:outlineLvl w:val="0"/>
              <w:rPr>
                <w:rFonts w:ascii="Book Antiqua" w:hAnsi="Book Antiqua" w:cs="Book Antiqua"/>
              </w:rPr>
            </w:pPr>
            <w:r>
              <w:rPr>
                <w:rFonts w:ascii="Book Antiqua" w:hAnsi="Book Antiqua" w:cs="Book Antiqua"/>
                <w:b/>
              </w:rPr>
              <w:t>Elève ayant réussi la 2</w:t>
            </w:r>
            <w:r>
              <w:rPr>
                <w:rFonts w:ascii="Book Antiqua" w:hAnsi="Book Antiqua" w:cs="Book Antiqua"/>
                <w:b/>
                <w:vertAlign w:val="superscript"/>
              </w:rPr>
              <w:t>ème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4P – 3S-DO</w:t>
            </w:r>
          </w:p>
        </w:tc>
        <w:tc>
          <w:tcPr>
            <w:tcW w:w="2561"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4P</w:t>
            </w:r>
          </w:p>
        </w:tc>
        <w:tc>
          <w:tcPr>
            <w:tcW w:w="2314" w:type="dxa"/>
            <w:tcBorders>
              <w:top w:val="single" w:sz="4" w:space="0" w:color="000000"/>
              <w:left w:val="single" w:sz="4" w:space="0" w:color="000000"/>
              <w:bottom w:val="single" w:sz="4" w:space="0" w:color="000000"/>
              <w:right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b/>
                <w:vertAlign w:val="superscript"/>
              </w:rPr>
              <w:t>(3)</w:t>
            </w:r>
          </w:p>
        </w:tc>
      </w:tr>
      <w:tr>
        <w:trPr>
          <w:jc w:val="center"/>
        </w:trPr>
        <w:tc>
          <w:tcPr>
            <w:tcW w:w="2233" w:type="dxa"/>
            <w:tcBorders>
              <w:top w:val="single" w:sz="4" w:space="0" w:color="000000"/>
              <w:left w:val="single" w:sz="4" w:space="0" w:color="000000"/>
              <w:bottom w:val="single" w:sz="4" w:space="0" w:color="000000"/>
            </w:tcBorders>
            <w:vAlign w:val="center"/>
          </w:tcPr>
          <w:p>
            <w:pPr>
              <w:keepNext/>
              <w:tabs>
                <w:tab w:val="num" w:pos="0"/>
                <w:tab w:val="center" w:pos="1349"/>
              </w:tabs>
              <w:snapToGrid w:val="0"/>
              <w:jc w:val="both"/>
              <w:outlineLvl w:val="0"/>
              <w:rPr>
                <w:rFonts w:ascii="Book Antiqua" w:hAnsi="Book Antiqua" w:cs="Book Antiqua"/>
              </w:rPr>
            </w:pPr>
            <w:r>
              <w:rPr>
                <w:rFonts w:ascii="Book Antiqua" w:hAnsi="Book Antiqua" w:cs="Book Antiqua"/>
                <w:b/>
              </w:rPr>
              <w:t xml:space="preserve"> Elève ayant réussi la 3</w:t>
            </w:r>
            <w:r>
              <w:rPr>
                <w:rFonts w:ascii="Book Antiqua" w:hAnsi="Book Antiqua" w:cs="Book Antiqua"/>
                <w:b/>
                <w:vertAlign w:val="superscript"/>
              </w:rPr>
              <w:t>ème</w:t>
            </w:r>
            <w:r>
              <w:rPr>
                <w:rFonts w:ascii="Book Antiqua" w:hAnsi="Book Antiqua" w:cs="Book Antiqua"/>
                <w:b/>
              </w:rPr>
              <w:t xml:space="preserve"> phase (CQ)</w:t>
            </w:r>
          </w:p>
        </w:tc>
        <w:tc>
          <w:tcPr>
            <w:tcW w:w="2615"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both"/>
              <w:outlineLvl w:val="0"/>
              <w:rPr>
                <w:rFonts w:ascii="Book Antiqua" w:hAnsi="Book Antiqua" w:cs="Book Antiqua"/>
              </w:rPr>
            </w:pPr>
            <w:r>
              <w:rPr>
                <w:rFonts w:ascii="Book Antiqua" w:hAnsi="Book Antiqua" w:cs="Book Antiqua"/>
              </w:rPr>
              <w:t>5P</w:t>
            </w:r>
          </w:p>
        </w:tc>
        <w:tc>
          <w:tcPr>
            <w:tcW w:w="2561"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both"/>
              <w:outlineLvl w:val="0"/>
              <w:rPr>
                <w:rFonts w:ascii="Book Antiqua" w:hAnsi="Book Antiqua" w:cs="Book Antiqua"/>
              </w:rPr>
            </w:pPr>
            <w:r>
              <w:rPr>
                <w:rFonts w:ascii="Book Antiqua" w:hAnsi="Book Antiqua" w:cs="Book Antiqua"/>
              </w:rPr>
              <w:t>5P</w:t>
            </w:r>
          </w:p>
        </w:tc>
        <w:tc>
          <w:tcPr>
            <w:tcW w:w="2314" w:type="dxa"/>
            <w:tcBorders>
              <w:top w:val="single" w:sz="4" w:space="0" w:color="000000"/>
              <w:left w:val="single" w:sz="4" w:space="0" w:color="000000"/>
              <w:bottom w:val="single" w:sz="4" w:space="0" w:color="000000"/>
              <w:right w:val="single" w:sz="4" w:space="0" w:color="000000"/>
            </w:tcBorders>
            <w:vAlign w:val="center"/>
          </w:tcPr>
          <w:p>
            <w:pPr>
              <w:keepNext/>
              <w:tabs>
                <w:tab w:val="num" w:pos="432"/>
                <w:tab w:val="center" w:pos="1349"/>
              </w:tabs>
              <w:snapToGrid w:val="0"/>
              <w:ind w:left="432" w:hanging="432"/>
              <w:jc w:val="both"/>
              <w:outlineLvl w:val="0"/>
              <w:rPr>
                <w:rFonts w:ascii="Book Antiqua" w:hAnsi="Book Antiqua" w:cs="Book Antiqua"/>
                <w:b/>
              </w:rPr>
            </w:pPr>
            <w:r>
              <w:rPr>
                <w:rFonts w:ascii="Book Antiqua" w:hAnsi="Book Antiqua" w:cs="Book Antiqua"/>
              </w:rPr>
              <w:t>3</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(2)</w:t>
            </w:r>
          </w:p>
        </w:tc>
      </w:tr>
    </w:tbl>
    <w:p>
      <w:pPr>
        <w:ind w:left="1069"/>
        <w:rPr>
          <w:rFonts w:ascii="Book Antiqua" w:hAnsi="Book Antiqua" w:cs="Book Antiqua"/>
        </w:rPr>
      </w:pPr>
    </w:p>
    <w:p>
      <w:pPr>
        <w:pStyle w:val="Paragraphedeliste1"/>
        <w:numPr>
          <w:ilvl w:val="0"/>
          <w:numId w:val="32"/>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Décret du 30 juin 2006 relatif à l’organisation du 1</w:t>
      </w:r>
      <w:r>
        <w:rPr>
          <w:rFonts w:ascii="Book Antiqua" w:hAnsi="Book Antiqua" w:cs="Book Antiqua"/>
          <w:sz w:val="20"/>
          <w:szCs w:val="20"/>
          <w:vertAlign w:val="superscript"/>
        </w:rPr>
        <w:t>er</w:t>
      </w:r>
      <w:r>
        <w:rPr>
          <w:rFonts w:ascii="Book Antiqua" w:hAnsi="Book Antiqua" w:cs="Book Antiqua"/>
          <w:sz w:val="20"/>
          <w:szCs w:val="20"/>
        </w:rPr>
        <w:t xml:space="preserve"> degré</w:t>
      </w:r>
    </w:p>
    <w:p>
      <w:pPr>
        <w:pStyle w:val="Paragraphedeliste1"/>
        <w:numPr>
          <w:ilvl w:val="0"/>
          <w:numId w:val="32"/>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Article 7 du décret du 3 juillet 1991 « les jeunes ne peuvent être inscrits dans des formations qui conduisent à la délivrance de titres identiques ou équivalents à ceux dont ils sont déjà porteurs dans les mêmes orientations d’études ».</w:t>
      </w:r>
    </w:p>
    <w:p>
      <w:pPr>
        <w:pStyle w:val="Paragraphedeliste1"/>
        <w:numPr>
          <w:ilvl w:val="0"/>
          <w:numId w:val="32"/>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lastRenderedPageBreak/>
        <w:t xml:space="preserve">Les élèves qui souhaitent suivre une formation dite « article 45 » y ont accès soit lorsqu’ils atteignent l’âge de 16 ans, soit lorsqu’ils ont suivi les deux premières années de l’enseignement secondaire de plein exercice et qu’ils ont 15 ans. </w:t>
      </w:r>
    </w:p>
    <w:p>
      <w:pPr>
        <w:pStyle w:val="Paragraphedeliste1"/>
        <w:ind w:left="1069"/>
        <w:jc w:val="both"/>
        <w:rPr>
          <w:rFonts w:ascii="Book Antiqua" w:hAnsi="Book Antiqua" w:cs="Book Antiqua"/>
          <w:sz w:val="20"/>
          <w:szCs w:val="20"/>
        </w:rPr>
      </w:pPr>
      <w:r>
        <w:rPr>
          <w:rFonts w:ascii="Book Antiqua" w:hAnsi="Book Antiqua" w:cs="Book Antiqua"/>
          <w:b/>
          <w:sz w:val="20"/>
          <w:szCs w:val="20"/>
        </w:rPr>
        <w:t>Remarques</w:t>
      </w:r>
      <w:r>
        <w:rPr>
          <w:rFonts w:ascii="Book Antiqua" w:hAnsi="Book Antiqua" w:cs="Book Antiqua"/>
          <w:sz w:val="20"/>
          <w:szCs w:val="20"/>
        </w:rPr>
        <w:t xml:space="preserve"> : </w:t>
      </w:r>
    </w:p>
    <w:p>
      <w:pPr>
        <w:pStyle w:val="Paragraphedeliste1"/>
        <w:numPr>
          <w:ilvl w:val="0"/>
          <w:numId w:val="10"/>
        </w:numPr>
        <w:tabs>
          <w:tab w:val="clear" w:pos="0"/>
          <w:tab w:val="num" w:pos="709"/>
        </w:tabs>
        <w:spacing w:after="120"/>
        <w:ind w:left="1429"/>
        <w:jc w:val="both"/>
        <w:rPr>
          <w:rFonts w:ascii="Book Antiqua" w:hAnsi="Book Antiqua" w:cs="Book Antiqua"/>
          <w:sz w:val="20"/>
          <w:szCs w:val="20"/>
        </w:rPr>
      </w:pPr>
      <w:r>
        <w:rPr>
          <w:rFonts w:ascii="Book Antiqua" w:hAnsi="Book Antiqua" w:cs="Book Antiqua"/>
          <w:sz w:val="20"/>
          <w:szCs w:val="20"/>
        </w:rPr>
        <w:t xml:space="preserve">Toutes situations auxquelles l’élève répond, même moins avancées dans son cursus, peuvent lui être appliquées.  </w:t>
      </w:r>
    </w:p>
    <w:p>
      <w:pPr>
        <w:pStyle w:val="Paragraphedeliste1"/>
        <w:spacing w:after="120"/>
        <w:ind w:left="2127"/>
        <w:jc w:val="both"/>
        <w:rPr>
          <w:rFonts w:ascii="Book Antiqua" w:hAnsi="Book Antiqua" w:cs="Book Antiqua"/>
          <w:sz w:val="20"/>
          <w:szCs w:val="20"/>
        </w:rPr>
      </w:pPr>
      <w:r>
        <w:rPr>
          <w:rFonts w:ascii="Book Antiqua" w:hAnsi="Book Antiqua" w:cs="Book Antiqua"/>
          <w:b/>
          <w:sz w:val="20"/>
          <w:szCs w:val="20"/>
        </w:rPr>
        <w:t>Exemple</w:t>
      </w:r>
      <w:r>
        <w:rPr>
          <w:rFonts w:ascii="Book Antiqua" w:hAnsi="Book Antiqua" w:cs="Book Antiqua"/>
          <w:sz w:val="20"/>
          <w:szCs w:val="20"/>
        </w:rPr>
        <w:t> : Si un élève a réussi la 2</w:t>
      </w:r>
      <w:r>
        <w:rPr>
          <w:rFonts w:ascii="Book Antiqua" w:hAnsi="Book Antiqua" w:cs="Book Antiqua"/>
          <w:sz w:val="20"/>
          <w:szCs w:val="20"/>
          <w:vertAlign w:val="superscript"/>
        </w:rPr>
        <w:t>ème</w:t>
      </w:r>
      <w:r>
        <w:rPr>
          <w:rFonts w:ascii="Book Antiqua" w:hAnsi="Book Antiqua" w:cs="Book Antiqua"/>
          <w:sz w:val="20"/>
          <w:szCs w:val="20"/>
        </w:rPr>
        <w:t xml:space="preserve"> phase, il a automatiquement réussi la 1</w:t>
      </w:r>
      <w:r>
        <w:rPr>
          <w:rFonts w:ascii="Book Antiqua" w:hAnsi="Book Antiqua" w:cs="Book Antiqua"/>
          <w:sz w:val="20"/>
          <w:szCs w:val="20"/>
          <w:vertAlign w:val="superscript"/>
        </w:rPr>
        <w:t>ère</w:t>
      </w:r>
      <w:r>
        <w:rPr>
          <w:rFonts w:ascii="Book Antiqua" w:hAnsi="Book Antiqua" w:cs="Book Antiqua"/>
          <w:sz w:val="20"/>
          <w:szCs w:val="20"/>
        </w:rPr>
        <w:t xml:space="preserve"> phase. Les orientations possibles en 3P et 3SDO après la réussite de la 2</w:t>
      </w:r>
      <w:r>
        <w:rPr>
          <w:rFonts w:ascii="Book Antiqua" w:hAnsi="Book Antiqua" w:cs="Book Antiqua"/>
          <w:sz w:val="20"/>
          <w:szCs w:val="20"/>
          <w:vertAlign w:val="superscript"/>
        </w:rPr>
        <w:t>ème</w:t>
      </w:r>
      <w:r>
        <w:rPr>
          <w:rFonts w:ascii="Book Antiqua" w:hAnsi="Book Antiqua" w:cs="Book Antiqua"/>
          <w:sz w:val="20"/>
          <w:szCs w:val="20"/>
        </w:rPr>
        <w:t xml:space="preserve"> phase peuvent être complétées par les orientations prévues par la réussite de la phase 1 : il peut donc éventuellement être orienté en 2C et 2S.</w:t>
      </w:r>
    </w:p>
    <w:p>
      <w:pPr>
        <w:pStyle w:val="Paragraphedeliste1"/>
        <w:numPr>
          <w:ilvl w:val="0"/>
          <w:numId w:val="10"/>
        </w:numPr>
        <w:tabs>
          <w:tab w:val="clear" w:pos="0"/>
          <w:tab w:val="num" w:pos="709"/>
        </w:tabs>
        <w:spacing w:after="240"/>
        <w:ind w:left="1429"/>
        <w:jc w:val="both"/>
        <w:rPr>
          <w:rFonts w:ascii="Book Antiqua" w:hAnsi="Book Antiqua" w:cs="Book Antiqua"/>
        </w:rPr>
      </w:pPr>
      <w:r>
        <w:rPr>
          <w:rFonts w:ascii="Book Antiqua" w:hAnsi="Book Antiqua" w:cs="Book Antiqua"/>
          <w:sz w:val="20"/>
          <w:szCs w:val="20"/>
        </w:rPr>
        <w:t>la réglementation relative au nombre d’années fréquentées au 1</w:t>
      </w:r>
      <w:r>
        <w:rPr>
          <w:rFonts w:ascii="Book Antiqua" w:hAnsi="Book Antiqua" w:cs="Book Antiqua"/>
          <w:sz w:val="20"/>
          <w:szCs w:val="20"/>
          <w:vertAlign w:val="superscript"/>
        </w:rPr>
        <w:t>er</w:t>
      </w:r>
      <w:r>
        <w:rPr>
          <w:rFonts w:ascii="Book Antiqua" w:hAnsi="Book Antiqua" w:cs="Book Antiqua"/>
          <w:sz w:val="20"/>
          <w:szCs w:val="20"/>
        </w:rPr>
        <w:t xml:space="preserve"> degré ne s’applique pas aux élèves de forme 3.</w:t>
      </w:r>
    </w:p>
    <w:p>
      <w:pPr>
        <w:pStyle w:val="niveau4"/>
        <w:ind w:left="709"/>
        <w:jc w:val="both"/>
        <w:rPr>
          <w:rFonts w:cs="Book Antiqua"/>
        </w:rPr>
      </w:pPr>
      <w:bookmarkStart w:id="37" w:name="_Toc522700762"/>
      <w:r>
        <w:rPr>
          <w:bCs w:val="0"/>
          <w:sz w:val="22"/>
        </w:rPr>
        <w:t xml:space="preserve">2. Conditions de passage de l’enseignement primaire spécialisé et de l’enseignement secondaire spécialisé de forme 3 vers l’enseignement ordinaire </w:t>
      </w:r>
      <w:r>
        <w:rPr>
          <w:bCs w:val="0"/>
          <w:sz w:val="22"/>
          <w:szCs w:val="30"/>
        </w:rPr>
        <w:t>des élèves qui ne sont pas porteurs du CEB</w:t>
      </w:r>
      <w:bookmarkEnd w:id="37"/>
      <w:r>
        <w:rPr>
          <w:rFonts w:cs="Arial"/>
          <w:bCs w:val="0"/>
          <w:sz w:val="22"/>
        </w:rPr>
        <w:t xml:space="preserve"> </w:t>
      </w:r>
    </w:p>
    <w:p>
      <w:pPr>
        <w:spacing w:after="120"/>
        <w:ind w:left="709"/>
        <w:jc w:val="both"/>
        <w:rPr>
          <w:rFonts w:ascii="Book Antiqua" w:hAnsi="Book Antiqua" w:cs="Book Antiqua"/>
        </w:rPr>
      </w:pPr>
      <w:r>
        <w:rPr>
          <w:rFonts w:ascii="Book Antiqua" w:hAnsi="Book Antiqua" w:cs="Book Antiqua"/>
        </w:rPr>
        <w:t>Remarque générale : le passage de l’enseignement spécialisé vers l’enseignement secondaire ordinaire nécessite le respect de 3 conditions cumulatives :</w:t>
      </w:r>
    </w:p>
    <w:p>
      <w:pPr>
        <w:pStyle w:val="Paragraphedeliste1"/>
        <w:numPr>
          <w:ilvl w:val="1"/>
          <w:numId w:val="38"/>
        </w:numPr>
        <w:tabs>
          <w:tab w:val="clear" w:pos="0"/>
          <w:tab w:val="num" w:pos="709"/>
        </w:tabs>
        <w:spacing w:after="120"/>
        <w:ind w:left="2149"/>
        <w:jc w:val="both"/>
        <w:rPr>
          <w:rFonts w:ascii="Book Antiqua" w:hAnsi="Book Antiqua" w:cs="Book Antiqua"/>
          <w:sz w:val="20"/>
          <w:szCs w:val="20"/>
        </w:rPr>
      </w:pPr>
      <w:r>
        <w:rPr>
          <w:rFonts w:ascii="Book Antiqua" w:hAnsi="Book Antiqua" w:cs="Book Antiqua"/>
          <w:sz w:val="20"/>
          <w:szCs w:val="20"/>
        </w:rPr>
        <w:t>la demande écrite des parents, de la personne exerçant l’autorité parentale ou de l’élève, s’il est majeur;</w:t>
      </w:r>
    </w:p>
    <w:p>
      <w:pPr>
        <w:pStyle w:val="Paragraphedeliste1"/>
        <w:numPr>
          <w:ilvl w:val="1"/>
          <w:numId w:val="38"/>
        </w:numPr>
        <w:tabs>
          <w:tab w:val="clear" w:pos="0"/>
          <w:tab w:val="num" w:pos="709"/>
        </w:tabs>
        <w:spacing w:after="120"/>
        <w:ind w:left="2149"/>
        <w:jc w:val="both"/>
        <w:rPr>
          <w:rFonts w:ascii="Book Antiqua" w:hAnsi="Book Antiqua" w:cs="Book Antiqua"/>
          <w:sz w:val="20"/>
          <w:szCs w:val="20"/>
        </w:rPr>
      </w:pPr>
      <w:r>
        <w:rPr>
          <w:rFonts w:ascii="Book Antiqua" w:hAnsi="Book Antiqua" w:cs="Book Antiqua"/>
          <w:sz w:val="20"/>
          <w:szCs w:val="20"/>
        </w:rPr>
        <w:t>l’avis motivé de l’organisme chargé de la guidance des élèves de l’établissement spécialisé concerné;</w:t>
      </w:r>
    </w:p>
    <w:p>
      <w:pPr>
        <w:pStyle w:val="Paragraphedeliste1"/>
        <w:numPr>
          <w:ilvl w:val="1"/>
          <w:numId w:val="38"/>
        </w:numPr>
        <w:tabs>
          <w:tab w:val="clear" w:pos="0"/>
          <w:tab w:val="num" w:pos="709"/>
        </w:tabs>
        <w:spacing w:after="120"/>
        <w:ind w:left="2149"/>
        <w:jc w:val="both"/>
        <w:rPr>
          <w:rFonts w:ascii="Book Antiqua" w:hAnsi="Book Antiqua" w:cs="Book Antiqua"/>
          <w:b/>
        </w:rPr>
      </w:pPr>
      <w:r>
        <w:rPr>
          <w:rFonts w:ascii="Book Antiqua" w:hAnsi="Book Antiqua" w:cs="Book Antiqua"/>
          <w:sz w:val="20"/>
          <w:szCs w:val="20"/>
        </w:rPr>
        <w:t>l’avis favorable du conseil d’admission de l’école d’accueil.</w:t>
      </w:r>
    </w:p>
    <w:p>
      <w:pPr>
        <w:pStyle w:val="Paragraphedeliste1"/>
        <w:ind w:left="0"/>
        <w:jc w:val="both"/>
        <w:rPr>
          <w:rFonts w:ascii="Book Antiqua" w:hAnsi="Book Antiqua" w:cs="Book Antiqua"/>
          <w:b/>
        </w:rPr>
      </w:pPr>
      <w:r>
        <w:rPr>
          <w:rFonts w:ascii="Book Antiqua" w:hAnsi="Book Antiqua" w:cs="Book Antiqua"/>
          <w:sz w:val="20"/>
          <w:szCs w:val="20"/>
        </w:rPr>
        <w:br w:type="page"/>
      </w:r>
    </w:p>
    <w:tbl>
      <w:tblPr>
        <w:tblW w:w="9723" w:type="dxa"/>
        <w:jc w:val="center"/>
        <w:tblLayout w:type="fixed"/>
        <w:tblLook w:val="0000" w:firstRow="0" w:lastRow="0" w:firstColumn="0" w:lastColumn="0" w:noHBand="0" w:noVBand="0"/>
      </w:tblPr>
      <w:tblGrid>
        <w:gridCol w:w="2233"/>
        <w:gridCol w:w="2615"/>
        <w:gridCol w:w="2561"/>
        <w:gridCol w:w="2314"/>
      </w:tblGrid>
      <w:tr>
        <w:trPr>
          <w:jc w:val="center"/>
        </w:trPr>
        <w:tc>
          <w:tcPr>
            <w:tcW w:w="2233"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lastRenderedPageBreak/>
              <w:t>Situation scolaire de l’élève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Année d’étude de l’enseignement secondaire ordinaire (plein exercice) ou de l’enseignement spécialisé de Forme 4 où l’élève peut être inscrit(e)</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Année d’étude de l’enseignement secondaire ordinaire (alternance art.49) où l’élève peut être inscrit(e)</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b/>
              </w:rPr>
              <w:t>Niveau de l’enseignement secondaire en alternance (art.45,  formations en urgence, MFI) où l’élève peut être inscrit(e)</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1</w:t>
            </w:r>
            <w:r>
              <w:rPr>
                <w:rFonts w:ascii="Book Antiqua" w:hAnsi="Book Antiqua" w:cs="Book Antiqua"/>
                <w:vertAlign w:val="superscript"/>
              </w:rPr>
              <w:t>ère</w:t>
            </w:r>
            <w:r>
              <w:rPr>
                <w:rFonts w:ascii="Book Antiqua" w:hAnsi="Book Antiqua" w:cs="Book Antiqua"/>
              </w:rPr>
              <w:t xml:space="preserve"> Différenciée </w:t>
            </w:r>
            <w:r>
              <w:rPr>
                <w:rFonts w:ascii="Book Antiqua" w:hAnsi="Book Antiqua" w:cs="Book Antiqua"/>
                <w:vertAlign w:val="superscript"/>
              </w:rPr>
              <w:t>(1)</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Accès refusé</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 ayant fréquenté 2 années scolaires complètes + 15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Différenciée </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 + 16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 xml:space="preserve">2ème Différenciée </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ayant  réussi la 1</w:t>
            </w:r>
            <w:r>
              <w:rPr>
                <w:rFonts w:ascii="Book Antiqua" w:hAnsi="Book Antiqua" w:cs="Book Antiqua"/>
                <w:b/>
                <w:vertAlign w:val="superscript"/>
              </w:rPr>
              <w:t>ère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Différenciée</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Accès refusé</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ayant réussi la 1ère phase ayant fréquenté 2 années scolaires complètes + 15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Différenciée</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b/>
              </w:rPr>
            </w:pPr>
            <w:r>
              <w:rPr>
                <w:rFonts w:ascii="Book Antiqua" w:hAnsi="Book Antiqua" w:cs="Book Antiqua"/>
                <w:b/>
              </w:rPr>
              <w:t>Elève inscrit(e) en 2</w:t>
            </w:r>
            <w:r>
              <w:rPr>
                <w:rFonts w:ascii="Book Antiqua" w:hAnsi="Book Antiqua" w:cs="Book Antiqua"/>
                <w:b/>
                <w:vertAlign w:val="superscript"/>
              </w:rPr>
              <w:t>ème</w:t>
            </w:r>
            <w:r>
              <w:rPr>
                <w:rFonts w:ascii="Book Antiqua" w:hAnsi="Book Antiqua" w:cs="Book Antiqua"/>
                <w:b/>
              </w:rPr>
              <w:t xml:space="preserve"> phase ayant fréquenté 1 année scolaire complète en 2</w:t>
            </w:r>
            <w:r>
              <w:rPr>
                <w:rFonts w:ascii="Book Antiqua" w:hAnsi="Book Antiqua" w:cs="Book Antiqua"/>
                <w:b/>
                <w:vertAlign w:val="superscript"/>
              </w:rPr>
              <w:t>ème</w:t>
            </w:r>
            <w:r>
              <w:rPr>
                <w:rFonts w:ascii="Book Antiqua" w:hAnsi="Book Antiqua" w:cs="Book Antiqua"/>
                <w:b/>
              </w:rPr>
              <w:t xml:space="preserve"> phase + 15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3P</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p>
          <w:p>
            <w:pPr>
              <w:snapToGrid w:val="0"/>
              <w:jc w:val="center"/>
              <w:rPr>
                <w:rFonts w:ascii="Book Antiqua" w:hAnsi="Book Antiqua" w:cs="Book Antiqua"/>
              </w:rPr>
            </w:pPr>
            <w:r>
              <w:rPr>
                <w:rFonts w:ascii="Book Antiqua" w:hAnsi="Book Antiqua" w:cs="Book Antiqua"/>
              </w:rPr>
              <w:t>3P</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ayant  réussi la 2</w:t>
            </w:r>
            <w:r>
              <w:rPr>
                <w:rFonts w:ascii="Book Antiqua" w:hAnsi="Book Antiqua" w:cs="Book Antiqua"/>
                <w:b/>
                <w:vertAlign w:val="superscript"/>
              </w:rPr>
              <w:t>ème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4P</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4P</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ayant réussi la 3</w:t>
            </w:r>
            <w:r>
              <w:rPr>
                <w:rFonts w:ascii="Book Antiqua" w:hAnsi="Book Antiqua" w:cs="Book Antiqua"/>
                <w:b/>
                <w:vertAlign w:val="superscript"/>
              </w:rPr>
              <w:t>ème</w:t>
            </w:r>
            <w:r>
              <w:rPr>
                <w:rFonts w:ascii="Book Antiqua" w:hAnsi="Book Antiqua" w:cs="Book Antiqua"/>
                <w:b/>
              </w:rPr>
              <w:t xml:space="preserve"> phase (CQ)</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5P</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5P</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3</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(2)</w:t>
            </w:r>
          </w:p>
        </w:tc>
      </w:tr>
    </w:tbl>
    <w:p>
      <w:pPr>
        <w:pStyle w:val="Paragraphedeliste1"/>
        <w:numPr>
          <w:ilvl w:val="0"/>
          <w:numId w:val="48"/>
        </w:numPr>
        <w:tabs>
          <w:tab w:val="clear" w:pos="0"/>
          <w:tab w:val="num" w:pos="709"/>
        </w:tabs>
        <w:ind w:left="1429"/>
        <w:rPr>
          <w:rFonts w:ascii="Book Antiqua" w:hAnsi="Book Antiqua" w:cs="Book Antiqua"/>
          <w:sz w:val="20"/>
          <w:szCs w:val="20"/>
        </w:rPr>
      </w:pPr>
      <w:r>
        <w:rPr>
          <w:rFonts w:ascii="Book Antiqua" w:hAnsi="Book Antiqua" w:cs="Book Antiqua"/>
          <w:sz w:val="20"/>
          <w:szCs w:val="20"/>
        </w:rPr>
        <w:t>Décret du 30 juin 2006 relatif à l’organisation du 1</w:t>
      </w:r>
      <w:r>
        <w:rPr>
          <w:rFonts w:ascii="Book Antiqua" w:hAnsi="Book Antiqua" w:cs="Book Antiqua"/>
          <w:sz w:val="20"/>
          <w:szCs w:val="20"/>
          <w:vertAlign w:val="superscript"/>
        </w:rPr>
        <w:t>er</w:t>
      </w:r>
      <w:r>
        <w:rPr>
          <w:rFonts w:ascii="Book Antiqua" w:hAnsi="Book Antiqua" w:cs="Book Antiqua"/>
          <w:sz w:val="20"/>
          <w:szCs w:val="20"/>
        </w:rPr>
        <w:t xml:space="preserve"> degré.</w:t>
      </w:r>
    </w:p>
    <w:p>
      <w:pPr>
        <w:pStyle w:val="Paragraphedeliste1"/>
        <w:numPr>
          <w:ilvl w:val="0"/>
          <w:numId w:val="48"/>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Article 7 du décret du 3 juillet 1991 « les jeunes ne peuvent être inscrits dans des formations qui conduisent à la délivrance de titres identiques ou équivalents à ceux dont ils sont déjà porteurs dans les mêmes orientations d’études ».</w:t>
      </w:r>
    </w:p>
    <w:p>
      <w:pPr>
        <w:pStyle w:val="Paragraphedeliste1"/>
        <w:numPr>
          <w:ilvl w:val="0"/>
          <w:numId w:val="48"/>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 xml:space="preserve">Les élèves qui souhaitent suivre une formation dite « article 45 » y ont accès soit lorsqu’ils atteignent l’âge de 16 ans, soit lorsqu’ils ont suivi les deux premières années de l’enseignement secondaire de plein exercice et qu’ils ont atteint 15 ans. </w:t>
      </w:r>
    </w:p>
    <w:p>
      <w:pPr>
        <w:pStyle w:val="Paragraphedeliste1"/>
        <w:ind w:left="1069"/>
        <w:jc w:val="both"/>
        <w:rPr>
          <w:rFonts w:ascii="Book Antiqua" w:hAnsi="Book Antiqua" w:cs="Book Antiqua"/>
          <w:b/>
          <w:sz w:val="20"/>
          <w:szCs w:val="20"/>
        </w:rPr>
      </w:pPr>
      <w:r>
        <w:rPr>
          <w:rFonts w:ascii="Book Antiqua" w:hAnsi="Book Antiqua" w:cs="Book Antiqua"/>
          <w:b/>
          <w:sz w:val="20"/>
          <w:szCs w:val="20"/>
        </w:rPr>
        <w:t xml:space="preserve">Remarques : </w:t>
      </w:r>
    </w:p>
    <w:p>
      <w:pPr>
        <w:pStyle w:val="Paragraphedeliste1"/>
        <w:numPr>
          <w:ilvl w:val="0"/>
          <w:numId w:val="5"/>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 xml:space="preserve">Toutes situations auxquelles l’élève répond, même moins avancées dans son cursus, peuvent lui être appliquées. </w:t>
      </w:r>
    </w:p>
    <w:p>
      <w:pPr>
        <w:pStyle w:val="Paragraphedeliste1"/>
        <w:ind w:left="2127"/>
        <w:jc w:val="both"/>
        <w:rPr>
          <w:rFonts w:ascii="Book Antiqua" w:hAnsi="Book Antiqua" w:cs="Book Antiqua"/>
          <w:sz w:val="20"/>
          <w:szCs w:val="20"/>
        </w:rPr>
      </w:pPr>
      <w:r>
        <w:rPr>
          <w:rFonts w:ascii="Book Antiqua" w:hAnsi="Book Antiqua" w:cs="Book Antiqua"/>
          <w:b/>
          <w:sz w:val="20"/>
          <w:szCs w:val="20"/>
        </w:rPr>
        <w:t>Exemple</w:t>
      </w:r>
      <w:r>
        <w:rPr>
          <w:rFonts w:ascii="Book Antiqua" w:hAnsi="Book Antiqua" w:cs="Book Antiqua"/>
          <w:sz w:val="20"/>
          <w:szCs w:val="20"/>
        </w:rPr>
        <w:t> : Si un élève a réussi la 2</w:t>
      </w:r>
      <w:r>
        <w:rPr>
          <w:rFonts w:ascii="Book Antiqua" w:hAnsi="Book Antiqua" w:cs="Book Antiqua"/>
          <w:sz w:val="20"/>
          <w:szCs w:val="20"/>
          <w:vertAlign w:val="superscript"/>
        </w:rPr>
        <w:t>ème</w:t>
      </w:r>
      <w:r>
        <w:rPr>
          <w:rFonts w:ascii="Book Antiqua" w:hAnsi="Book Antiqua" w:cs="Book Antiqua"/>
          <w:sz w:val="20"/>
          <w:szCs w:val="20"/>
        </w:rPr>
        <w:t xml:space="preserve"> phase, il a automatiquement réussi la 1</w:t>
      </w:r>
      <w:r>
        <w:rPr>
          <w:rFonts w:ascii="Book Antiqua" w:hAnsi="Book Antiqua" w:cs="Book Antiqua"/>
          <w:sz w:val="20"/>
          <w:szCs w:val="20"/>
          <w:vertAlign w:val="superscript"/>
        </w:rPr>
        <w:t>ère</w:t>
      </w:r>
      <w:r>
        <w:rPr>
          <w:rFonts w:ascii="Book Antiqua" w:hAnsi="Book Antiqua" w:cs="Book Antiqua"/>
          <w:sz w:val="20"/>
          <w:szCs w:val="20"/>
        </w:rPr>
        <w:t xml:space="preserve"> phase. L’orientation possible  en 3P après la réussite de la 2</w:t>
      </w:r>
      <w:r>
        <w:rPr>
          <w:rFonts w:ascii="Book Antiqua" w:hAnsi="Book Antiqua" w:cs="Book Antiqua"/>
          <w:sz w:val="20"/>
          <w:szCs w:val="20"/>
          <w:vertAlign w:val="superscript"/>
        </w:rPr>
        <w:t>ème</w:t>
      </w:r>
      <w:r>
        <w:rPr>
          <w:rFonts w:ascii="Book Antiqua" w:hAnsi="Book Antiqua" w:cs="Book Antiqua"/>
          <w:sz w:val="20"/>
          <w:szCs w:val="20"/>
        </w:rPr>
        <w:t xml:space="preserve"> phase  peut être complétée par les orientations prévues par la réussite de la phase 1 : il peut donc éventuellement être orienté en 2</w:t>
      </w:r>
      <w:r>
        <w:rPr>
          <w:rFonts w:ascii="Book Antiqua" w:hAnsi="Book Antiqua" w:cs="Book Antiqua"/>
          <w:sz w:val="20"/>
          <w:szCs w:val="20"/>
          <w:vertAlign w:val="superscript"/>
        </w:rPr>
        <w:t>ème</w:t>
      </w:r>
      <w:r>
        <w:rPr>
          <w:rFonts w:ascii="Book Antiqua" w:hAnsi="Book Antiqua" w:cs="Book Antiqua"/>
          <w:sz w:val="20"/>
          <w:szCs w:val="20"/>
        </w:rPr>
        <w:t xml:space="preserve"> différenciée.</w:t>
      </w:r>
    </w:p>
    <w:p>
      <w:pPr>
        <w:spacing w:after="360"/>
        <w:ind w:left="709"/>
        <w:jc w:val="both"/>
        <w:rPr>
          <w:rFonts w:ascii="Book Antiqua" w:hAnsi="Book Antiqua" w:cs="Book Antiqua"/>
        </w:rPr>
      </w:pPr>
      <w:r>
        <w:rPr>
          <w:rFonts w:ascii="Book Antiqua" w:hAnsi="Book Antiqua" w:cs="Book Antiqua"/>
        </w:rPr>
        <w:t>La réglementation relative au nombre d’années fréquentées au 1</w:t>
      </w:r>
      <w:r>
        <w:rPr>
          <w:rFonts w:ascii="Book Antiqua" w:hAnsi="Book Antiqua" w:cs="Book Antiqua"/>
          <w:vertAlign w:val="superscript"/>
        </w:rPr>
        <w:t>er</w:t>
      </w:r>
      <w:r>
        <w:rPr>
          <w:rFonts w:ascii="Book Antiqua" w:hAnsi="Book Antiqua" w:cs="Book Antiqua"/>
        </w:rPr>
        <w:t xml:space="preserve"> degré ne s’applique pas aux élèves de forme 3.</w:t>
      </w:r>
    </w:p>
    <w:p>
      <w:pPr>
        <w:pStyle w:val="niveau3"/>
        <w:ind w:left="709"/>
      </w:pPr>
      <w:r>
        <w:br w:type="page"/>
      </w:r>
      <w:bookmarkStart w:id="38" w:name="_Toc522700763"/>
      <w:r>
        <w:lastRenderedPageBreak/>
        <w:t xml:space="preserve">iV. </w:t>
      </w:r>
      <w:r>
        <w:rPr>
          <w:u w:val="single"/>
        </w:rPr>
        <w:t>l’insertion socio-professionnelle</w:t>
      </w:r>
      <w:bookmarkEnd w:id="38"/>
    </w:p>
    <w:p>
      <w:pPr>
        <w:pStyle w:val="Textebrut1"/>
        <w:widowControl/>
        <w:ind w:left="993" w:firstLine="0"/>
        <w:rPr>
          <w:rFonts w:ascii="Book Antiqua" w:hAnsi="Book Antiqua" w:cs="Book Antiqua"/>
          <w:color w:val="000000"/>
          <w:lang w:val="fr-FR"/>
        </w:rPr>
      </w:pPr>
      <w:r>
        <w:rPr>
          <w:rFonts w:ascii="Book Antiqua" w:hAnsi="Book Antiqua" w:cs="Book Antiqua"/>
          <w:color w:val="000000"/>
          <w:lang w:val="fr-FR"/>
        </w:rPr>
        <w:t>Pour tous les élèves, on entend par insertion socio-professionnelle :</w:t>
      </w:r>
    </w:p>
    <w:p>
      <w:pPr>
        <w:pStyle w:val="Textebrut1"/>
        <w:widowControl/>
        <w:numPr>
          <w:ilvl w:val="0"/>
          <w:numId w:val="12"/>
        </w:numPr>
        <w:tabs>
          <w:tab w:val="clear" w:pos="205"/>
          <w:tab w:val="left" w:pos="360"/>
        </w:tabs>
        <w:ind w:left="2127" w:hanging="698"/>
        <w:rPr>
          <w:rFonts w:ascii="Book Antiqua" w:hAnsi="Book Antiqua" w:cs="Book Antiqua"/>
          <w:color w:val="000000"/>
          <w:lang w:val="fr-FR"/>
        </w:rPr>
      </w:pPr>
      <w:r>
        <w:rPr>
          <w:rFonts w:ascii="Book Antiqua" w:hAnsi="Book Antiqua" w:cs="Book Antiqua"/>
          <w:color w:val="000000"/>
          <w:lang w:val="fr-FR"/>
        </w:rPr>
        <w:t xml:space="preserve">tout </w:t>
      </w:r>
      <w:r>
        <w:rPr>
          <w:rFonts w:ascii="Book Antiqua" w:hAnsi="Book Antiqua" w:cs="Book Antiqua"/>
          <w:b/>
          <w:color w:val="000000"/>
          <w:lang w:val="fr-FR"/>
        </w:rPr>
        <w:t>contrat d’apprentissage de professions exercées par des travailleurs salariés</w:t>
      </w:r>
      <w:r>
        <w:rPr>
          <w:rFonts w:ascii="Book Antiqua" w:hAnsi="Book Antiqua" w:cs="Book Antiqua"/>
          <w:color w:val="000000"/>
          <w:lang w:val="fr-FR"/>
        </w:rPr>
        <w:t> ;</w:t>
      </w:r>
    </w:p>
    <w:p>
      <w:pPr>
        <w:pStyle w:val="Textebrut1"/>
        <w:widowControl/>
        <w:numPr>
          <w:ilvl w:val="0"/>
          <w:numId w:val="12"/>
        </w:numPr>
        <w:tabs>
          <w:tab w:val="clear" w:pos="205"/>
          <w:tab w:val="left" w:pos="360"/>
        </w:tabs>
        <w:ind w:left="2127" w:hanging="698"/>
        <w:rPr>
          <w:rFonts w:ascii="Book Antiqua" w:hAnsi="Book Antiqua" w:cs="Book Antiqua"/>
          <w:color w:val="000000"/>
          <w:lang w:val="fr-FR"/>
        </w:rPr>
      </w:pPr>
      <w:r>
        <w:rPr>
          <w:rFonts w:ascii="Book Antiqua" w:hAnsi="Book Antiqua" w:cs="Book Antiqua"/>
          <w:color w:val="000000"/>
          <w:lang w:val="fr-FR"/>
        </w:rPr>
        <w:t>toute convention emploi-formation ;</w:t>
      </w:r>
    </w:p>
    <w:p>
      <w:pPr>
        <w:pStyle w:val="Textebrut1"/>
        <w:widowControl/>
        <w:numPr>
          <w:ilvl w:val="0"/>
          <w:numId w:val="12"/>
        </w:numPr>
        <w:tabs>
          <w:tab w:val="clear" w:pos="205"/>
          <w:tab w:val="left" w:pos="360"/>
          <w:tab w:val="num" w:pos="914"/>
        </w:tabs>
        <w:ind w:left="2149" w:hanging="720"/>
        <w:rPr>
          <w:rFonts w:ascii="Book Antiqua" w:hAnsi="Book Antiqua" w:cs="Book Antiqua"/>
          <w:color w:val="000000"/>
          <w:lang w:val="fr-FR"/>
        </w:rPr>
      </w:pPr>
      <w:r>
        <w:rPr>
          <w:rFonts w:ascii="Book Antiqua" w:hAnsi="Book Antiqua" w:cs="Book Antiqua"/>
          <w:color w:val="000000"/>
          <w:lang w:val="fr-FR"/>
        </w:rPr>
        <w:t xml:space="preserve">toute autre forme de </w:t>
      </w:r>
      <w:r>
        <w:rPr>
          <w:rFonts w:ascii="Book Antiqua" w:hAnsi="Book Antiqua" w:cs="Book Antiqua"/>
          <w:b/>
          <w:color w:val="000000"/>
          <w:lang w:val="fr-FR"/>
        </w:rPr>
        <w:t>contrat ou de convention reconnu par la législation du travail</w:t>
      </w:r>
      <w:r>
        <w:rPr>
          <w:rFonts w:ascii="Book Antiqua" w:hAnsi="Book Antiqua" w:cs="Book Antiqua"/>
          <w:color w:val="000000"/>
          <w:lang w:val="fr-FR"/>
        </w:rPr>
        <w:t xml:space="preserve"> qui aura reçu l’approbation du Gouvernement de la </w:t>
      </w:r>
      <w:r>
        <w:rPr>
          <w:rFonts w:ascii="Book Antiqua" w:hAnsi="Book Antiqua" w:cs="Book Antiqua"/>
          <w:color w:val="000000"/>
          <w:spacing w:val="-4"/>
          <w:lang w:val="fr-FR"/>
        </w:rPr>
        <w:t>Fédération Wallonie-Bruxelles</w:t>
      </w:r>
      <w:r>
        <w:rPr>
          <w:rFonts w:ascii="Book Antiqua" w:hAnsi="Book Antiqua" w:cs="Book Antiqua"/>
          <w:color w:val="000000"/>
          <w:lang w:val="fr-FR"/>
        </w:rPr>
        <w:t xml:space="preserve">. </w:t>
      </w:r>
      <w:r>
        <w:rPr>
          <w:rStyle w:val="Caractresdenotedebasdepage"/>
          <w:rFonts w:ascii="Book Antiqua" w:hAnsi="Book Antiqua" w:cs="Book Antiqua"/>
          <w:color w:val="000000"/>
          <w:lang w:val="fr-FR"/>
        </w:rPr>
        <w:footnoteReference w:id="93"/>
      </w:r>
    </w:p>
    <w:p>
      <w:pPr>
        <w:pStyle w:val="Textebrut1"/>
        <w:widowControl/>
        <w:spacing w:before="120" w:after="120"/>
        <w:ind w:left="993" w:firstLine="0"/>
        <w:rPr>
          <w:rFonts w:ascii="Book Antiqua" w:hAnsi="Book Antiqua" w:cs="Book Antiqua"/>
          <w:color w:val="000000"/>
          <w:u w:val="single"/>
          <w:lang w:val="fr-FR"/>
        </w:rPr>
      </w:pPr>
      <w:r>
        <w:rPr>
          <w:rFonts w:ascii="Book Antiqua" w:hAnsi="Book Antiqua" w:cs="Book Antiqua"/>
          <w:color w:val="000000"/>
          <w:lang w:val="fr-FR"/>
        </w:rPr>
        <w:t>A noter que depuis le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septembre 2015, la convention d’insertion socioprofessionnelle est remplacée par le </w:t>
      </w:r>
      <w:r>
        <w:rPr>
          <w:rFonts w:ascii="Book Antiqua" w:hAnsi="Book Antiqua" w:cs="Book Antiqua"/>
          <w:b/>
          <w:color w:val="000000"/>
          <w:lang w:val="fr-FR"/>
        </w:rPr>
        <w:t xml:space="preserve">contrat d’alternance. </w:t>
      </w:r>
      <w:r>
        <w:rPr>
          <w:rFonts w:ascii="Book Antiqua" w:hAnsi="Book Antiqua" w:cs="Book Antiqua"/>
          <w:color w:val="000000"/>
          <w:lang w:val="fr-FR"/>
        </w:rPr>
        <w:t>Toutefois, les conventions d’insertions socioprofessionnelles conclues avant le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septembre 2015 peuvent être poursuivies jusqu’à leur terme.</w:t>
      </w:r>
      <w:r>
        <w:rPr>
          <w:rStyle w:val="Appelnotedebasdep"/>
          <w:rFonts w:ascii="Book Antiqua" w:hAnsi="Book Antiqua"/>
          <w:color w:val="000000"/>
          <w:lang w:val="fr-FR"/>
        </w:rPr>
        <w:footnoteReference w:id="94"/>
      </w:r>
      <w:r>
        <w:rPr>
          <w:rFonts w:ascii="Book Antiqua" w:hAnsi="Book Antiqua" w:cs="Book Antiqua"/>
          <w:color w:val="000000"/>
          <w:lang w:val="fr-FR"/>
        </w:rPr>
        <w:t xml:space="preserve"> </w:t>
      </w:r>
    </w:p>
    <w:p>
      <w:pPr>
        <w:pStyle w:val="Textebrut1"/>
        <w:widowControl/>
        <w:spacing w:after="120"/>
        <w:ind w:left="993" w:firstLine="0"/>
        <w:rPr>
          <w:rFonts w:ascii="Book Antiqua" w:hAnsi="Book Antiqua" w:cs="Book Antiqua"/>
          <w:color w:val="000000"/>
          <w:lang w:val="fr-FR"/>
        </w:rPr>
      </w:pPr>
      <w:r>
        <w:rPr>
          <w:rFonts w:ascii="Book Antiqua" w:hAnsi="Book Antiqua" w:cs="Book Antiqua"/>
          <w:color w:val="000000"/>
          <w:u w:val="single"/>
          <w:lang w:val="fr-FR"/>
        </w:rPr>
        <w:t>Remarques</w:t>
      </w:r>
      <w:r>
        <w:rPr>
          <w:rFonts w:ascii="Book Antiqua" w:hAnsi="Book Antiqua" w:cs="Book Antiqua"/>
          <w:color w:val="000000"/>
          <w:lang w:val="fr-FR"/>
        </w:rPr>
        <w:t xml:space="preserve"> : </w:t>
      </w:r>
    </w:p>
    <w:p>
      <w:pPr>
        <w:pStyle w:val="Textebrut1"/>
        <w:widowControl/>
        <w:numPr>
          <w:ilvl w:val="0"/>
          <w:numId w:val="39"/>
        </w:numPr>
        <w:tabs>
          <w:tab w:val="clear" w:pos="1004"/>
          <w:tab w:val="num" w:pos="1713"/>
        </w:tabs>
        <w:spacing w:after="120"/>
        <w:ind w:left="1713"/>
        <w:rPr>
          <w:rFonts w:ascii="Book Antiqua" w:hAnsi="Book Antiqua" w:cs="Book Antiqua"/>
          <w:color w:val="000000"/>
          <w:lang w:val="fr-FR"/>
        </w:rPr>
      </w:pPr>
      <w:r>
        <w:rPr>
          <w:rFonts w:ascii="Book Antiqua" w:hAnsi="Book Antiqua" w:cs="Book Antiqua"/>
          <w:color w:val="000000"/>
          <w:lang w:val="fr-FR"/>
        </w:rPr>
        <w:t>Les jeunes sous contrat de travail ou convention relèvent de la législation du travail.</w:t>
      </w:r>
    </w:p>
    <w:p>
      <w:pPr>
        <w:pStyle w:val="Textebrut1"/>
        <w:widowControl/>
        <w:numPr>
          <w:ilvl w:val="0"/>
          <w:numId w:val="39"/>
        </w:numPr>
        <w:tabs>
          <w:tab w:val="clear" w:pos="1004"/>
          <w:tab w:val="num" w:pos="1713"/>
        </w:tabs>
        <w:spacing w:after="240"/>
        <w:ind w:left="1712" w:hanging="357"/>
        <w:rPr>
          <w:rFonts w:ascii="Book Antiqua" w:hAnsi="Book Antiqua" w:cs="Book Antiqua"/>
          <w:color w:val="000000"/>
          <w:lang w:val="fr-FR"/>
        </w:rPr>
      </w:pPr>
      <w:r>
        <w:rPr>
          <w:rFonts w:ascii="Book Antiqua" w:hAnsi="Book Antiqua" w:cs="Book Antiqua"/>
          <w:color w:val="000000"/>
          <w:lang w:val="fr-FR"/>
        </w:rPr>
        <w:t>Dans le cadre d’un module de formation individualisée, les dispositions prévues dans la circulaire n°1256 du 13 octobre 2005 intitulée «Arrêté royal du 21 septembre 2004 relatif à la protection des stagiaires – Modifications des mécanismes d’examen médical préalable » devront être respectées.</w:t>
      </w:r>
    </w:p>
    <w:p>
      <w:pPr>
        <w:pStyle w:val="niveau3"/>
        <w:ind w:left="709"/>
      </w:pPr>
      <w:bookmarkStart w:id="39" w:name="_Toc522700764"/>
      <w:r>
        <w:t>V. Fréquentation et exclusion</w:t>
      </w:r>
      <w:bookmarkEnd w:id="39"/>
      <w:r>
        <w:t xml:space="preserve"> </w:t>
      </w:r>
    </w:p>
    <w:p>
      <w:pPr>
        <w:pStyle w:val="niveau4"/>
        <w:ind w:left="709"/>
      </w:pPr>
      <w:bookmarkStart w:id="40" w:name="_Toc522700765"/>
      <w:r>
        <w:t>1. Fréquentation</w:t>
      </w:r>
      <w:bookmarkEnd w:id="40"/>
    </w:p>
    <w:p>
      <w:pPr>
        <w:autoSpaceDE w:val="0"/>
        <w:autoSpaceDN w:val="0"/>
        <w:adjustRightInd w:val="0"/>
        <w:ind w:left="709"/>
        <w:jc w:val="both"/>
        <w:rPr>
          <w:rFonts w:ascii="Book Antiqua" w:hAnsi="Book Antiqua" w:cs="CenturySchoolbook-Bold"/>
          <w:bCs/>
        </w:rPr>
      </w:pPr>
      <w:r>
        <w:rPr>
          <w:rFonts w:ascii="Book Antiqua" w:hAnsi="Book Antiqua" w:cs="Book Antiqua"/>
          <w:color w:val="000000"/>
        </w:rPr>
        <w:t xml:space="preserve">Les conditions de régularité sont vérifiées selon les dispositions du décret </w:t>
      </w:r>
      <w:r>
        <w:rPr>
          <w:rFonts w:ascii="Book Antiqua" w:hAnsi="Book Antiqua" w:cs="CenturySchoolbook-Bold"/>
          <w:bCs/>
        </w:rPr>
        <w:t>du 21 novembre 2013 organisant divers dispositifs scolaires favorisant le bien-être des jeunes à l'école, l'accrochage scolaire, la prévention de la violence à l'école et l'accompagnement des démarches d'orientation scolaire.</w:t>
      </w:r>
      <w:r>
        <w:rPr>
          <w:rFonts w:ascii="Book Antiqua" w:hAnsi="Book Antiqua" w:cs="Book Antiqua"/>
          <w:color w:val="000000"/>
        </w:rPr>
        <w:t xml:space="preserve">. </w:t>
      </w:r>
      <w:r>
        <w:rPr>
          <w:rStyle w:val="Caractresdenotedebasdepage"/>
          <w:rFonts w:ascii="Book Antiqua" w:hAnsi="Book Antiqua" w:cs="Book Antiqua"/>
          <w:color w:val="000000"/>
        </w:rPr>
        <w:footnoteReference w:id="95"/>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Ainsi, sauf dérogation ministérielle, à partir du 2</w:t>
      </w:r>
      <w:r>
        <w:rPr>
          <w:rFonts w:ascii="Book Antiqua" w:hAnsi="Book Antiqua" w:cs="Book Antiqua"/>
          <w:color w:val="000000"/>
          <w:vertAlign w:val="superscript"/>
          <w:lang w:val="fr-FR"/>
        </w:rPr>
        <w:t>ème</w:t>
      </w:r>
      <w:r>
        <w:rPr>
          <w:rFonts w:ascii="Book Antiqua" w:hAnsi="Book Antiqua" w:cs="Book Antiqua"/>
          <w:color w:val="000000"/>
          <w:lang w:val="fr-FR"/>
        </w:rPr>
        <w:t xml:space="preserve"> degré de l’enseignement secondaire, l’élève (mineur ou majeur) qui compte, au cours d’une même année scolaire, plus de 20 demi-journées d’absence injustifiée, perd sa qualité d’élève régulier</w:t>
      </w:r>
      <w:r>
        <w:rPr>
          <w:rStyle w:val="Caractresdenotedebasdepage"/>
          <w:rFonts w:ascii="Book Antiqua" w:hAnsi="Book Antiqua" w:cs="Book Antiqua"/>
          <w:color w:val="000000"/>
          <w:lang w:val="fr-FR"/>
        </w:rPr>
        <w:footnoteReference w:id="96"/>
      </w:r>
      <w:r>
        <w:rPr>
          <w:rFonts w:ascii="Book Antiqua" w:hAnsi="Book Antiqua" w:cs="Book Antiqua"/>
          <w:color w:val="000000"/>
          <w:lang w:val="fr-FR"/>
        </w:rPr>
        <w:t xml:space="preserve">. </w:t>
      </w:r>
    </w:p>
    <w:p>
      <w:pPr>
        <w:pStyle w:val="Textebrut1"/>
        <w:widowControl/>
        <w:pBdr>
          <w:top w:val="single" w:sz="4" w:space="1" w:color="auto"/>
          <w:left w:val="single" w:sz="4" w:space="4" w:color="auto"/>
          <w:bottom w:val="single" w:sz="4" w:space="1" w:color="auto"/>
          <w:right w:val="single" w:sz="4" w:space="4" w:color="auto"/>
        </w:pBdr>
        <w:spacing w:after="120"/>
        <w:ind w:left="1418" w:firstLine="0"/>
        <w:rPr>
          <w:rFonts w:ascii="Book Antiqua" w:hAnsi="Book Antiqua" w:cs="Book Antiqua"/>
          <w:color w:val="000000"/>
          <w:lang w:val="fr-FR"/>
        </w:rPr>
      </w:pPr>
      <w:r>
        <w:rPr>
          <w:rFonts w:ascii="Book Antiqua" w:hAnsi="Book Antiqua" w:cs="Book Antiqua"/>
          <w:color w:val="000000"/>
          <w:lang w:val="fr-FR"/>
        </w:rPr>
        <w:t>L’article 26 du 21 novembre 2013 organisant divers dispositifs scolaires favorisant le bien-être des jeunes à l'école, l'accrochage scolaire, la prévention de la violence à l'école et l'accompagnement des démarches d'orientation scolaire prévoit que le Ministre ou son délégué peut, en raison de circonstances exceptionnelles, permettre à un élève qui a perdu la qualité d’élève régulier de recouvrer cette qualité.</w:t>
      </w:r>
      <w:r>
        <w:rPr>
          <w:rFonts w:ascii="Book Antiqua" w:hAnsi="Book Antiqua"/>
          <w:lang w:val="fr-BE"/>
        </w:rPr>
        <w:t xml:space="preserve"> Cette dérogation doit être introduite </w:t>
      </w:r>
      <w:r>
        <w:rPr>
          <w:rFonts w:ascii="Book Antiqua" w:hAnsi="Book Antiqua" w:cs="Book Antiqua"/>
          <w:color w:val="000000"/>
          <w:lang w:val="fr-FR"/>
        </w:rPr>
        <w:t xml:space="preserve">via le formulaire électronique accessible à l’adresse suivante : </w:t>
      </w:r>
    </w:p>
    <w:p>
      <w:pPr>
        <w:pStyle w:val="Textebrut1"/>
        <w:widowControl/>
        <w:pBdr>
          <w:top w:val="single" w:sz="4" w:space="1" w:color="auto"/>
          <w:left w:val="single" w:sz="4" w:space="4" w:color="auto"/>
          <w:bottom w:val="single" w:sz="4" w:space="1" w:color="auto"/>
          <w:right w:val="single" w:sz="4" w:space="4" w:color="auto"/>
        </w:pBdr>
        <w:spacing w:after="120"/>
        <w:ind w:left="1418" w:firstLine="0"/>
        <w:jc w:val="center"/>
        <w:rPr>
          <w:rFonts w:ascii="Book Antiqua" w:hAnsi="Book Antiqua" w:cs="Book Antiqua"/>
          <w:color w:val="000000"/>
          <w:lang w:val="fr-FR"/>
        </w:rPr>
      </w:pPr>
      <w:r>
        <w:rPr>
          <w:rFonts w:ascii="Book Antiqua" w:hAnsi="Book Antiqua" w:cs="Book Antiqua"/>
          <w:color w:val="000000"/>
          <w:lang w:val="fr-FR"/>
        </w:rPr>
        <w:t>www.enseignement.cfwb.be/DEROGATION_WEB/</w:t>
      </w:r>
      <w:proofErr w:type="spellStart"/>
      <w:r>
        <w:rPr>
          <w:rFonts w:ascii="Book Antiqua" w:hAnsi="Book Antiqua" w:cs="Book Antiqua"/>
          <w:color w:val="000000"/>
          <w:lang w:val="fr-FR"/>
        </w:rPr>
        <w:t>sanctions_études</w:t>
      </w:r>
      <w:proofErr w:type="spellEnd"/>
    </w:p>
    <w:p>
      <w:pPr>
        <w:pStyle w:val="Textebrut1"/>
        <w:widowControl/>
        <w:pBdr>
          <w:top w:val="single" w:sz="4" w:space="1" w:color="auto"/>
          <w:left w:val="single" w:sz="4" w:space="4" w:color="auto"/>
          <w:bottom w:val="single" w:sz="4" w:space="1" w:color="auto"/>
          <w:right w:val="single" w:sz="4" w:space="4" w:color="auto"/>
        </w:pBdr>
        <w:spacing w:after="120"/>
        <w:ind w:left="1418" w:firstLine="0"/>
        <w:rPr>
          <w:lang w:val="fr-FR"/>
        </w:rPr>
      </w:pP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Toutefois, en application de l’alinéa 3 de l’article 26 du décret susmentionné, les absences non justifiées relevées dans l’enseignement ordinaire de plein exercice ne sont pas prises en compte lorsqu’un élève s’inscrit dans l’enseignement secondaire en alternance au cours de la même année scolaire.</w:t>
      </w:r>
      <w:r>
        <w:rPr>
          <w:rStyle w:val="Caractresdenotedebasdepage"/>
          <w:rFonts w:ascii="Book Antiqua" w:hAnsi="Book Antiqua" w:cs="Book Antiqua"/>
          <w:color w:val="000000"/>
          <w:lang w:val="fr-FR"/>
        </w:rPr>
        <w:footnoteReference w:id="97"/>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lastRenderedPageBreak/>
        <w:t xml:space="preserve">La fréquentation régulière prend aussi en compte les périodes d’activité de formation par le travail dans l’entreprise ou les périodes qui relèvent de l’organisation d’un module de formation individualisé. </w:t>
      </w:r>
      <w:r>
        <w:rPr>
          <w:rStyle w:val="Caractresdenotedebasdepage"/>
          <w:rFonts w:ascii="Book Antiqua" w:hAnsi="Book Antiqua" w:cs="Book Antiqua"/>
          <w:color w:val="000000"/>
          <w:lang w:val="fr-FR"/>
        </w:rPr>
        <w:footnoteReference w:id="98"/>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 xml:space="preserve">Au cours d’une même année scolaire, peuvent se succéder, dans le respect des conditions d’admission, des périodes d’enseignement secondaire de plein exercice et des périodes d’enseignement secondaire en alternance. </w:t>
      </w:r>
      <w:r>
        <w:rPr>
          <w:rStyle w:val="Caractresdenotedebasdepage"/>
          <w:rFonts w:ascii="Book Antiqua" w:hAnsi="Book Antiqua" w:cs="Book Antiqua"/>
          <w:color w:val="000000"/>
          <w:lang w:val="fr-FR"/>
        </w:rPr>
        <w:footnoteReference w:id="99"/>
      </w:r>
    </w:p>
    <w:p>
      <w:pPr>
        <w:pStyle w:val="Textebrut1"/>
        <w:widowControl/>
        <w:spacing w:after="240"/>
        <w:ind w:left="1418" w:firstLine="0"/>
        <w:rPr>
          <w:rFonts w:ascii="Book Antiqua" w:hAnsi="Book Antiqua"/>
          <w:lang w:val="fr-FR"/>
        </w:rPr>
      </w:pPr>
      <w:r>
        <w:rPr>
          <w:rFonts w:ascii="Book Antiqua" w:hAnsi="Book Antiqua"/>
          <w:lang w:val="fr-FR"/>
        </w:rPr>
        <w:t xml:space="preserve">Dans le cadre de la formation organisée en application de l’article 45 du décret « Missions » du 24 juillet 1997, les élèves de plus de 18 ans et moins de 25 ans au 31 décembre sont tenus de suivre une formation en relation avec le contrat ou la convention conclu, comportant au minimum 300 périodes annuelles soit dans un établissement de promotion sociale soit au sein de l’établissement siège ou dans un établissement coopérant. </w:t>
      </w:r>
      <w:r>
        <w:rPr>
          <w:rStyle w:val="Caractresdenotedebasdepage"/>
          <w:rFonts w:ascii="Book Antiqua" w:hAnsi="Book Antiqua" w:cs="Book Antiqua"/>
          <w:color w:val="000000"/>
          <w:lang w:val="fr-FR"/>
        </w:rPr>
        <w:footnoteReference w:id="100"/>
      </w:r>
    </w:p>
    <w:p>
      <w:pPr>
        <w:pStyle w:val="niveau4"/>
        <w:ind w:left="709"/>
      </w:pPr>
      <w:bookmarkStart w:id="41" w:name="_Toc522700766"/>
      <w:r>
        <w:t>2. Exclusion</w:t>
      </w:r>
      <w:bookmarkEnd w:id="41"/>
      <w:r>
        <w:t xml:space="preserve"> </w:t>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Les procédures d’exclusion prévues par le décret « Missions » du 24 juillet 1997 sont d’application dans les CEFA.</w:t>
      </w:r>
      <w:r>
        <w:rPr>
          <w:rStyle w:val="Caractresdenotedebasdepage"/>
          <w:rFonts w:ascii="Book Antiqua" w:hAnsi="Book Antiqua" w:cs="Book Antiqua"/>
          <w:color w:val="000000"/>
          <w:lang w:val="fr-FR"/>
        </w:rPr>
        <w:footnoteReference w:id="101"/>
      </w:r>
    </w:p>
    <w:p>
      <w:pPr>
        <w:pStyle w:val="Textebrut1"/>
        <w:widowControl/>
        <w:spacing w:after="240"/>
        <w:ind w:left="1418" w:firstLine="0"/>
        <w:rPr>
          <w:rFonts w:ascii="Book Antiqua" w:hAnsi="Book Antiqua" w:cs="Book Antiqua"/>
          <w:color w:val="000000"/>
          <w:lang w:val="fr-FR"/>
        </w:rPr>
      </w:pPr>
      <w:r>
        <w:rPr>
          <w:rFonts w:ascii="Book Antiqua" w:hAnsi="Book Antiqua" w:cs="Book Antiqua"/>
          <w:color w:val="000000"/>
          <w:lang w:val="fr-FR"/>
        </w:rPr>
        <w:t>Pour rappel, l’exclusion d’un élève relève de la responsabilité du chef d’établissement où l’élève suit la majorité de sa formation professionnelle. Celui-ci exerce dans ce cadre les prérogatives du chef d’établissement et/ou du pouvoir organisateur.</w:t>
      </w:r>
      <w:r>
        <w:rPr>
          <w:rStyle w:val="Caractresdenotedebasdepage"/>
          <w:rFonts w:ascii="Book Antiqua" w:hAnsi="Book Antiqua" w:cs="Book Antiqua"/>
          <w:color w:val="000000"/>
          <w:lang w:val="fr-FR"/>
        </w:rPr>
        <w:footnoteReference w:id="102"/>
      </w:r>
    </w:p>
    <w:p>
      <w:pPr>
        <w:pStyle w:val="Textebrut1"/>
        <w:widowControl/>
        <w:spacing w:after="240"/>
        <w:ind w:left="1418" w:firstLine="0"/>
        <w:rPr>
          <w:rFonts w:ascii="Book Antiqua" w:hAnsi="Book Antiqua" w:cs="Book Antiqua"/>
          <w:color w:val="000000"/>
          <w:lang w:val="fr-FR"/>
        </w:rPr>
      </w:pPr>
      <w:r>
        <w:rPr>
          <w:rFonts w:ascii="Book Antiqua" w:hAnsi="Book Antiqua" w:cs="Book Antiqua"/>
          <w:color w:val="000000"/>
          <w:lang w:val="fr-FR"/>
        </w:rPr>
        <w:t xml:space="preserve">Par ailleurs, l’élève majeur qui compte, au cours d’une même année scolaire, plus de 20 demi-journées d’absence injustifiée, peut être exclu de l’établissement. </w:t>
      </w:r>
      <w:r>
        <w:rPr>
          <w:rStyle w:val="Caractresdenotedebasdepage"/>
          <w:rFonts w:ascii="Book Antiqua" w:hAnsi="Book Antiqua" w:cs="Book Antiqua"/>
          <w:color w:val="000000"/>
          <w:lang w:val="fr-FR"/>
        </w:rPr>
        <w:footnoteReference w:id="103"/>
      </w:r>
    </w:p>
    <w:p>
      <w:pPr>
        <w:pStyle w:val="Titre10"/>
        <w:ind w:left="1429"/>
        <w:jc w:val="both"/>
        <w:rPr>
          <w:rFonts w:ascii="Book Antiqua" w:hAnsi="Book Antiqua" w:cs="Book Antiqua"/>
          <w:color w:val="000000"/>
          <w:sz w:val="20"/>
        </w:rPr>
      </w:pPr>
      <w:r>
        <w:rPr>
          <w:rFonts w:ascii="Book Antiqua" w:hAnsi="Book Antiqua" w:cs="Book Antiqua"/>
          <w:color w:val="000000"/>
          <w:sz w:val="20"/>
        </w:rPr>
        <w:t>Il convient également de se reporter à la circulaire n°2020 du 6 septembre 2007 « Prise en compte des élèves exclus pour la définition du montant des dotations ou subventions et de l’encadrement » qui précise les conséquences des exclusions sur le calcul de l’encadrement.</w:t>
      </w:r>
    </w:p>
    <w:p>
      <w:pPr>
        <w:pStyle w:val="Corpsdetexte"/>
      </w:pPr>
    </w:p>
    <w:p>
      <w:pPr>
        <w:pStyle w:val="niveau3"/>
        <w:pBdr>
          <w:top w:val="single" w:sz="4" w:space="1" w:color="auto"/>
          <w:left w:val="single" w:sz="4" w:space="4" w:color="auto"/>
          <w:bottom w:val="single" w:sz="4" w:space="1" w:color="auto"/>
          <w:right w:val="single" w:sz="4" w:space="4" w:color="auto"/>
        </w:pBdr>
      </w:pPr>
      <w:bookmarkStart w:id="42" w:name="_Toc522700767"/>
      <w:r>
        <w:t>Formulaires ELECTRONIQUES relatifs à la sanction des études</w:t>
      </w:r>
      <w:bookmarkEnd w:id="42"/>
    </w:p>
    <w:p>
      <w:pPr>
        <w:autoSpaceDE w:val="0"/>
        <w:autoSpaceDN w:val="0"/>
        <w:adjustRightInd w:val="0"/>
        <w:rPr>
          <w:rFonts w:cs="Georgia"/>
          <w:color w:val="000000"/>
        </w:rPr>
      </w:pPr>
    </w:p>
    <w:p>
      <w:pPr>
        <w:autoSpaceDE w:val="0"/>
        <w:autoSpaceDN w:val="0"/>
        <w:adjustRightInd w:val="0"/>
        <w:jc w:val="both"/>
        <w:rPr>
          <w:rFonts w:ascii="Book Antiqua" w:hAnsi="Book Antiqua" w:cs="Georgia"/>
          <w:color w:val="000000"/>
        </w:rPr>
      </w:pPr>
      <w:r>
        <w:rPr>
          <w:rFonts w:ascii="Book Antiqua" w:hAnsi="Book Antiqua" w:cs="Georgia"/>
          <w:color w:val="000000"/>
        </w:rPr>
        <w:t>Depuis l’année scolaire 2012-2013, nous vous offrons la possibilité de simplifier la procédure d’introduction de certaines dérogations en passant par la voie électronique, grâce à un formulaire électronique (FE).</w:t>
      </w:r>
    </w:p>
    <w:p>
      <w:pPr>
        <w:autoSpaceDE w:val="0"/>
        <w:autoSpaceDN w:val="0"/>
        <w:adjustRightInd w:val="0"/>
        <w:jc w:val="both"/>
        <w:rPr>
          <w:rFonts w:ascii="Book Antiqua" w:hAnsi="Book Antiqua" w:cs="Georgia"/>
          <w:color w:val="000000"/>
        </w:rPr>
      </w:pPr>
    </w:p>
    <w:p>
      <w:pPr>
        <w:autoSpaceDE w:val="0"/>
        <w:autoSpaceDN w:val="0"/>
        <w:adjustRightInd w:val="0"/>
        <w:jc w:val="both"/>
        <w:rPr>
          <w:rFonts w:ascii="Book Antiqua" w:hAnsi="Book Antiqua" w:cs="Georgia"/>
          <w:color w:val="000000"/>
        </w:rPr>
      </w:pPr>
      <w:r>
        <w:rPr>
          <w:rFonts w:ascii="Book Antiqua" w:hAnsi="Book Antiqua" w:cs="Georgia"/>
          <w:color w:val="000000"/>
        </w:rPr>
        <w:t>Un FE est un formulaire disponible sur un site web, à compléter sur ordinateur.</w:t>
      </w:r>
    </w:p>
    <w:p>
      <w:pPr>
        <w:autoSpaceDE w:val="0"/>
        <w:autoSpaceDN w:val="0"/>
        <w:adjustRightInd w:val="0"/>
        <w:jc w:val="both"/>
        <w:rPr>
          <w:rFonts w:ascii="Book Antiqua" w:hAnsi="Book Antiqua" w:cs="Georgia"/>
          <w:color w:val="000000"/>
        </w:rPr>
      </w:pPr>
    </w:p>
    <w:p>
      <w:pPr>
        <w:autoSpaceDE w:val="0"/>
        <w:autoSpaceDN w:val="0"/>
        <w:adjustRightInd w:val="0"/>
        <w:jc w:val="both"/>
        <w:rPr>
          <w:rFonts w:ascii="Book Antiqua" w:hAnsi="Book Antiqua" w:cs="Georgia"/>
        </w:rPr>
      </w:pPr>
      <w:r>
        <w:rPr>
          <w:rFonts w:ascii="Book Antiqua" w:hAnsi="Book Antiqua" w:cs="Georgia"/>
        </w:rPr>
        <w:t xml:space="preserve">L’utilisation du FE est </w:t>
      </w:r>
      <w:r>
        <w:rPr>
          <w:rFonts w:ascii="Book Antiqua" w:hAnsi="Book Antiqua" w:cs="Georgia"/>
          <w:b/>
          <w:u w:val="single"/>
        </w:rPr>
        <w:t>obligatoire</w:t>
      </w:r>
      <w:r>
        <w:rPr>
          <w:rFonts w:ascii="Book Antiqua" w:hAnsi="Book Antiqua" w:cs="Georgia"/>
        </w:rPr>
        <w:t xml:space="preserve"> depuis le 1</w:t>
      </w:r>
      <w:r>
        <w:rPr>
          <w:rFonts w:ascii="Book Antiqua" w:hAnsi="Book Antiqua" w:cs="Georgia"/>
          <w:vertAlign w:val="superscript"/>
        </w:rPr>
        <w:t>er</w:t>
      </w:r>
      <w:r>
        <w:rPr>
          <w:rFonts w:ascii="Book Antiqua" w:hAnsi="Book Antiqua" w:cs="Georgia"/>
        </w:rPr>
        <w:t xml:space="preserve"> février 2017.</w:t>
      </w:r>
    </w:p>
    <w:p>
      <w:pPr>
        <w:autoSpaceDE w:val="0"/>
        <w:autoSpaceDN w:val="0"/>
        <w:adjustRightInd w:val="0"/>
        <w:jc w:val="both"/>
        <w:rPr>
          <w:rFonts w:ascii="Book Antiqua" w:hAnsi="Book Antiqua" w:cs="Georgia"/>
          <w:color w:val="000000"/>
        </w:rPr>
      </w:pPr>
    </w:p>
    <w:p>
      <w:pPr>
        <w:autoSpaceDE w:val="0"/>
        <w:autoSpaceDN w:val="0"/>
        <w:adjustRightInd w:val="0"/>
        <w:jc w:val="both"/>
        <w:rPr>
          <w:rFonts w:ascii="Book Antiqua" w:hAnsi="Book Antiqua" w:cs="Georgia"/>
          <w:color w:val="000000"/>
        </w:rPr>
      </w:pPr>
      <w:r>
        <w:rPr>
          <w:rFonts w:ascii="Book Antiqua" w:hAnsi="Book Antiqua" w:cs="Georgia"/>
          <w:color w:val="000000"/>
        </w:rPr>
        <w:t>Pour y accéder, vous devez impérativement vous connecter à l’adresse Internet suivante :</w:t>
      </w:r>
    </w:p>
    <w:p>
      <w:pPr>
        <w:autoSpaceDE w:val="0"/>
        <w:autoSpaceDN w:val="0"/>
        <w:adjustRightInd w:val="0"/>
        <w:jc w:val="both"/>
        <w:rPr>
          <w:rFonts w:ascii="Book Antiqua" w:hAnsi="Book Antiqua" w:cs="Georgia"/>
          <w:color w:val="000000"/>
        </w:rPr>
      </w:pPr>
    </w:p>
    <w:p>
      <w:pPr>
        <w:jc w:val="both"/>
        <w:rPr>
          <w:rStyle w:val="Lienhypertexte"/>
          <w:rFonts w:ascii="Book Antiqua" w:hAnsi="Book Antiqua"/>
        </w:rPr>
      </w:pPr>
      <w:r>
        <w:rPr>
          <w:rFonts w:ascii="Book Antiqua" w:hAnsi="Book Antiqua"/>
          <w:color w:val="000000"/>
        </w:rPr>
        <w:fldChar w:fldCharType="begin"/>
      </w:r>
      <w:r>
        <w:rPr>
          <w:rFonts w:ascii="Book Antiqua" w:hAnsi="Book Antiqua"/>
          <w:color w:val="000000"/>
        </w:rPr>
        <w:instrText xml:space="preserve"> HYPERLINK "https://www.enseignement.cfwb.be/DEROGATION_WEB/sanctions_etudes" </w:instrText>
      </w:r>
      <w:r>
        <w:rPr>
          <w:rFonts w:ascii="Book Antiqua" w:hAnsi="Book Antiqua"/>
          <w:color w:val="000000"/>
        </w:rPr>
        <w:fldChar w:fldCharType="separate"/>
      </w:r>
      <w:r>
        <w:rPr>
          <w:rStyle w:val="Lienhypertexte"/>
          <w:rFonts w:ascii="Book Antiqua" w:hAnsi="Book Antiqua"/>
        </w:rPr>
        <w:t>https://www.enseignement.cfwb.be/DEROGATION_WEB/sanctions_etudes</w:t>
      </w:r>
    </w:p>
    <w:p>
      <w:pPr>
        <w:jc w:val="both"/>
        <w:rPr>
          <w:rFonts w:ascii="Book Antiqua" w:hAnsi="Book Antiqua"/>
          <w:color w:val="000000"/>
        </w:rPr>
      </w:pPr>
      <w:r>
        <w:rPr>
          <w:rFonts w:ascii="Book Antiqua" w:hAnsi="Book Antiqua"/>
          <w:color w:val="000000"/>
        </w:rPr>
        <w:fldChar w:fldCharType="end"/>
      </w:r>
    </w:p>
    <w:p>
      <w:pPr>
        <w:autoSpaceDE w:val="0"/>
        <w:autoSpaceDN w:val="0"/>
        <w:adjustRightInd w:val="0"/>
        <w:jc w:val="both"/>
        <w:rPr>
          <w:rFonts w:ascii="Book Antiqua" w:hAnsi="Book Antiqua" w:cs="Georgia"/>
          <w:color w:val="000000"/>
        </w:rPr>
      </w:pPr>
      <w:r>
        <w:rPr>
          <w:rFonts w:ascii="Book Antiqua" w:hAnsi="Book Antiqua" w:cs="Georgia"/>
          <w:color w:val="000000"/>
        </w:rPr>
        <w:t>Pour toute introduction de demande via le formulaire électronique, veuillez-vous référer au tome 2 de la circulaire annuelle intitulée « Circulaire générale relative à l’organisation de l’enseignement secondaire ordinaire et à la sanction des études » ainsi qu’</w:t>
      </w:r>
      <w:r>
        <w:rPr>
          <w:rFonts w:ascii="Book Antiqua" w:hAnsi="Book Antiqua"/>
        </w:rPr>
        <w:t>à la</w:t>
      </w:r>
      <w:r>
        <w:t xml:space="preserve"> circulaire n°5986 du 13/12/2016 intitulée « Formulaires électroniques relatifs à la Sanction des études ».</w:t>
      </w:r>
    </w:p>
    <w:p>
      <w:pPr>
        <w:jc w:val="both"/>
        <w:rPr>
          <w:rFonts w:ascii="Book Antiqua" w:hAnsi="Book Antiqua"/>
        </w:rPr>
      </w:pPr>
    </w:p>
    <w:p>
      <w:pPr>
        <w:pStyle w:val="Corpsdetexte"/>
      </w:pPr>
    </w:p>
    <w:p>
      <w:pPr>
        <w:pStyle w:val="Corpsdetexte"/>
      </w:pPr>
    </w:p>
    <w:p>
      <w:pPr>
        <w:pStyle w:val="Corpsdetexte"/>
        <w:sectPr>
          <w:headerReference w:type="even" r:id="rId25"/>
          <w:headerReference w:type="default" r:id="rId26"/>
          <w:footerReference w:type="even" r:id="rId27"/>
          <w:footerReference w:type="default" r:id="rId28"/>
          <w:headerReference w:type="first" r:id="rId29"/>
          <w:footerReference w:type="first" r:id="rId30"/>
          <w:pgSz w:w="11906" w:h="16838"/>
          <w:pgMar w:top="907" w:right="1134" w:bottom="907" w:left="1276" w:header="851" w:footer="851" w:gutter="0"/>
          <w:cols w:space="720"/>
          <w:docGrid w:linePitch="360"/>
        </w:sectPr>
      </w:pPr>
    </w:p>
    <w:p>
      <w:pPr>
        <w:pStyle w:val="niveau2"/>
        <w:ind w:left="709"/>
        <w:rPr>
          <w:color w:val="000000"/>
        </w:rPr>
      </w:pPr>
      <w:bookmarkStart w:id="43" w:name="_Toc522700768"/>
      <w:r>
        <w:rPr>
          <w:color w:val="000000"/>
        </w:rPr>
        <w:lastRenderedPageBreak/>
        <w:t>CHAPITRE III : SANCTION DES ETUDES</w:t>
      </w:r>
      <w:bookmarkEnd w:id="43"/>
    </w:p>
    <w:p>
      <w:pPr>
        <w:pStyle w:val="niveau3"/>
        <w:ind w:left="709"/>
        <w:rPr>
          <w:u w:val="single"/>
        </w:rPr>
      </w:pPr>
      <w:bookmarkStart w:id="44" w:name="_Toc522700769"/>
      <w:r>
        <w:t xml:space="preserve">i. </w:t>
      </w:r>
      <w:r>
        <w:rPr>
          <w:u w:val="single"/>
        </w:rPr>
        <w:t>Le Conseil de classe</w:t>
      </w:r>
      <w:r>
        <w:rPr>
          <w:rStyle w:val="Caractresdenotedebasdepage"/>
          <w:rFonts w:cs="Book Antiqua"/>
        </w:rPr>
        <w:footnoteReference w:id="104"/>
      </w:r>
      <w:r>
        <w:t xml:space="preserve"> / </w:t>
      </w:r>
      <w:r>
        <w:rPr>
          <w:u w:val="single"/>
        </w:rPr>
        <w:t>Le Jury de qualification</w:t>
      </w:r>
      <w:bookmarkEnd w:id="44"/>
    </w:p>
    <w:p>
      <w:pPr>
        <w:pStyle w:val="Titre10"/>
        <w:ind w:left="99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 xml:space="preserve">a/ Le Conseil de classe de l’enseignement secondaire en alternance : </w:t>
      </w:r>
      <w:r>
        <w:rPr>
          <w:rStyle w:val="Caractresdenotedebasdepage"/>
          <w:rFonts w:ascii="Book Antiqua" w:hAnsi="Book Antiqua" w:cs="Book Antiqua"/>
          <w:color w:val="000000"/>
          <w:spacing w:val="-4"/>
          <w:sz w:val="20"/>
          <w:szCs w:val="20"/>
        </w:rPr>
        <w:footnoteReference w:id="105"/>
      </w:r>
    </w:p>
    <w:p>
      <w:pPr>
        <w:pStyle w:val="Titre10"/>
        <w:numPr>
          <w:ilvl w:val="0"/>
          <w:numId w:val="13"/>
        </w:numPr>
        <w:tabs>
          <w:tab w:val="clear" w:pos="360"/>
          <w:tab w:val="left" w:pos="567"/>
          <w:tab w:val="num" w:pos="1069"/>
        </w:tabs>
        <w:spacing w:before="0" w:after="0"/>
        <w:ind w:left="1276" w:hanging="28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 xml:space="preserve">est présidé par le chef de l’établissement siège ou par le chef de l’établissement coopérant où l’élève suit la majorité de sa formation professionnelle (pour les </w:t>
      </w:r>
      <w:r>
        <w:rPr>
          <w:rFonts w:ascii="Book Antiqua" w:hAnsi="Book Antiqua" w:cs="Book Antiqua"/>
          <w:b w:val="0"/>
          <w:i/>
          <w:color w:val="000000"/>
          <w:spacing w:val="-4"/>
          <w:sz w:val="20"/>
          <w:szCs w:val="20"/>
        </w:rPr>
        <w:t>établissements scolaires de l’enseignement organisé par la</w:t>
      </w:r>
      <w:r>
        <w:rPr>
          <w:rFonts w:ascii="Book Antiqua" w:hAnsi="Book Antiqua" w:cs="Book Antiqua"/>
          <w:color w:val="000000"/>
          <w:spacing w:val="-4"/>
        </w:rPr>
        <w:t xml:space="preserve"> </w:t>
      </w:r>
      <w:r>
        <w:rPr>
          <w:rFonts w:ascii="Book Antiqua" w:hAnsi="Book Antiqua" w:cs="Book Antiqua"/>
          <w:b w:val="0"/>
          <w:i/>
          <w:color w:val="000000"/>
          <w:spacing w:val="-4"/>
          <w:sz w:val="20"/>
          <w:szCs w:val="20"/>
        </w:rPr>
        <w:t>Fédération Wallonie-Bruxelles</w:t>
      </w:r>
      <w:r>
        <w:rPr>
          <w:rFonts w:ascii="Book Antiqua" w:hAnsi="Book Antiqua" w:cs="Book Antiqua"/>
          <w:b w:val="0"/>
          <w:color w:val="000000"/>
          <w:spacing w:val="-4"/>
          <w:sz w:val="20"/>
          <w:szCs w:val="20"/>
        </w:rPr>
        <w:t xml:space="preserve"> le Conseil de classe est présidé par le chef de l’établissement siège et peut être présidé, sur base d’une décision du Conseil de direction de l’alternance, par le chef de l’établissement coopérant où l’élève suit la majorité de sa formation professionnelle) ; </w:t>
      </w:r>
      <w:proofErr w:type="spellStart"/>
      <w:r>
        <w:rPr>
          <w:rFonts w:ascii="Book Antiqua" w:hAnsi="Book Antiqua" w:cs="Book Antiqua"/>
          <w:b w:val="0"/>
          <w:color w:val="000000"/>
          <w:spacing w:val="-4"/>
          <w:sz w:val="20"/>
          <w:szCs w:val="20"/>
        </w:rPr>
        <w:t>peut être</w:t>
      </w:r>
      <w:proofErr w:type="spellEnd"/>
      <w:r>
        <w:rPr>
          <w:rFonts w:ascii="Book Antiqua" w:hAnsi="Book Antiqua" w:cs="Book Antiqua"/>
          <w:b w:val="0"/>
          <w:color w:val="000000"/>
          <w:spacing w:val="-4"/>
          <w:sz w:val="20"/>
          <w:szCs w:val="20"/>
        </w:rPr>
        <w:t xml:space="preserve"> présidé, sur la base d’une décision du chef d’établissement concerné, par le délégué du chef d’établissement ;</w:t>
      </w:r>
    </w:p>
    <w:p>
      <w:pPr>
        <w:pStyle w:val="Titre10"/>
        <w:numPr>
          <w:ilvl w:val="0"/>
          <w:numId w:val="13"/>
        </w:numPr>
        <w:tabs>
          <w:tab w:val="clear" w:pos="360"/>
          <w:tab w:val="left" w:pos="567"/>
          <w:tab w:val="num" w:pos="1069"/>
        </w:tabs>
        <w:spacing w:before="0" w:after="0"/>
        <w:ind w:left="1276" w:hanging="28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est composé de tous les membres du personnel enseignant en charge de l’élève, du coordonnateur et d’un accompagnateur. Ces membres ont voix délibérative ;</w:t>
      </w:r>
    </w:p>
    <w:p>
      <w:pPr>
        <w:pStyle w:val="Titre10"/>
        <w:numPr>
          <w:ilvl w:val="0"/>
          <w:numId w:val="13"/>
        </w:numPr>
        <w:tabs>
          <w:tab w:val="clear" w:pos="360"/>
          <w:tab w:val="left" w:pos="567"/>
          <w:tab w:val="num" w:pos="1069"/>
        </w:tabs>
        <w:spacing w:before="0" w:after="0"/>
        <w:ind w:left="1276" w:hanging="28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prend en compte, dans sa délibération, l’activité de formation en entreprise ;</w:t>
      </w:r>
    </w:p>
    <w:p>
      <w:pPr>
        <w:pStyle w:val="Titre10"/>
        <w:numPr>
          <w:ilvl w:val="0"/>
          <w:numId w:val="13"/>
        </w:numPr>
        <w:tabs>
          <w:tab w:val="clear" w:pos="360"/>
          <w:tab w:val="left" w:pos="567"/>
          <w:tab w:val="num" w:pos="1069"/>
        </w:tabs>
        <w:spacing w:before="0" w:after="0"/>
        <w:ind w:left="1276" w:hanging="28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 xml:space="preserve">décide du passage de classe ou de cycle, de la délivrance des diplômes, certificats et attestations de réussite. </w:t>
      </w:r>
    </w:p>
    <w:p>
      <w:pPr>
        <w:pStyle w:val="Titre10"/>
        <w:tabs>
          <w:tab w:val="left" w:pos="567"/>
        </w:tabs>
        <w:spacing w:after="240"/>
        <w:ind w:left="99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 xml:space="preserve">Un membre du centre psycho-médico-social et les éducateurs peuvent, avec voix consultative, assister au conseil de classe. </w:t>
      </w:r>
    </w:p>
    <w:p>
      <w:pPr>
        <w:pStyle w:val="Corpsdetexte"/>
        <w:ind w:left="993"/>
      </w:pPr>
      <w:r>
        <w:rPr>
          <w:rFonts w:ascii="Book Antiqua" w:hAnsi="Book Antiqua" w:cs="Book Antiqua"/>
          <w:color w:val="000000"/>
          <w:spacing w:val="-4"/>
          <w:sz w:val="20"/>
          <w:szCs w:val="20"/>
        </w:rPr>
        <w:t>b/ Le jury de qualification est compétent pour délivrer les certificats de qualification</w:t>
      </w:r>
      <w:r>
        <w:rPr>
          <w:rStyle w:val="Appelnotedebasdep"/>
          <w:rFonts w:ascii="Book Antiqua" w:hAnsi="Book Antiqua"/>
          <w:color w:val="000000"/>
          <w:spacing w:val="-4"/>
          <w:sz w:val="20"/>
          <w:szCs w:val="20"/>
        </w:rPr>
        <w:footnoteReference w:id="106"/>
      </w:r>
      <w:r>
        <w:t>.</w:t>
      </w:r>
    </w:p>
    <w:p>
      <w:pPr>
        <w:pStyle w:val="niveau3"/>
        <w:ind w:left="709"/>
      </w:pPr>
      <w:bookmarkStart w:id="45" w:name="_Toc522700770"/>
      <w:r>
        <w:t xml:space="preserve">ii. </w:t>
      </w:r>
      <w:r>
        <w:rPr>
          <w:u w:val="single"/>
        </w:rPr>
        <w:t>Formations relevant de l’application de l’article 49 du décret « Missions »</w:t>
      </w:r>
      <w:bookmarkEnd w:id="45"/>
      <w:r>
        <w:t xml:space="preserve"> </w:t>
      </w:r>
    </w:p>
    <w:p>
      <w:pPr>
        <w:pStyle w:val="niveau4"/>
        <w:ind w:left="709"/>
      </w:pPr>
      <w:bookmarkStart w:id="46" w:name="_Toc522700771"/>
      <w:r>
        <w:t>1. La certification</w:t>
      </w:r>
      <w:bookmarkEnd w:id="46"/>
      <w:r>
        <w:t xml:space="preserve"> </w:t>
      </w:r>
    </w:p>
    <w:p>
      <w:pPr>
        <w:pStyle w:val="Retraitcorpsdetexte21"/>
        <w:spacing w:before="0" w:after="120"/>
        <w:ind w:left="1418"/>
        <w:rPr>
          <w:rFonts w:ascii="Book Antiqua" w:hAnsi="Book Antiqua" w:cs="Book Antiqua"/>
          <w:color w:val="000000"/>
          <w:sz w:val="20"/>
          <w:szCs w:val="20"/>
        </w:rPr>
      </w:pPr>
      <w:r>
        <w:rPr>
          <w:rFonts w:ascii="Book Antiqua" w:hAnsi="Book Antiqua" w:cs="Book Antiqua"/>
          <w:color w:val="000000"/>
          <w:sz w:val="20"/>
          <w:szCs w:val="20"/>
        </w:rPr>
        <w:t xml:space="preserve">Les certificats et attestations délivrés au terme des formations relevant de l’application de l’article 49 du décret « Missions » sont identiques à ceux de l’enseignement secondaire de plein exercice sauf qu’ils mentionnent qu’ils ont été délivrés dans l’enseignement secondaire en alternance. La réussite d’une année d’études de l’enseignement secondaire « article 49 » est sanctionnée de manière analogue à celle de l’enseignement secondaire de plein exercice. </w:t>
      </w:r>
      <w:r>
        <w:rPr>
          <w:rStyle w:val="Caractresdenotedebasdepage"/>
          <w:rFonts w:ascii="Book Antiqua" w:hAnsi="Book Antiqua" w:cs="Book Antiqua"/>
          <w:color w:val="000000"/>
          <w:sz w:val="20"/>
          <w:szCs w:val="20"/>
        </w:rPr>
        <w:footnoteReference w:id="107"/>
      </w:r>
      <w:r>
        <w:rPr>
          <w:rFonts w:ascii="Book Antiqua" w:hAnsi="Book Antiqua" w:cs="Book Antiqua"/>
          <w:color w:val="000000"/>
          <w:sz w:val="20"/>
          <w:szCs w:val="20"/>
        </w:rPr>
        <w:t xml:space="preserve"> </w:t>
      </w:r>
    </w:p>
    <w:p>
      <w:pPr>
        <w:spacing w:after="120"/>
        <w:ind w:left="1418"/>
        <w:jc w:val="both"/>
        <w:rPr>
          <w:rFonts w:ascii="Book Antiqua" w:hAnsi="Book Antiqua" w:cs="Book Antiqua"/>
          <w:b/>
          <w:color w:val="000000"/>
        </w:rPr>
      </w:pPr>
      <w:r>
        <w:rPr>
          <w:rFonts w:ascii="Book Antiqua" w:hAnsi="Book Antiqua"/>
          <w:b/>
        </w:rPr>
        <w:t xml:space="preserve">Le certificat d’études de base </w:t>
      </w:r>
      <w:r>
        <w:rPr>
          <w:rFonts w:ascii="Book Antiqua" w:hAnsi="Book Antiqua"/>
        </w:rPr>
        <w:t>est attribué aux élèves réguliers ayant terminé avec fruit une des années des 2</w:t>
      </w:r>
      <w:r>
        <w:rPr>
          <w:rFonts w:ascii="Book Antiqua" w:hAnsi="Book Antiqua"/>
          <w:vertAlign w:val="superscript"/>
        </w:rPr>
        <w:t>ème</w:t>
      </w:r>
      <w:r>
        <w:rPr>
          <w:rFonts w:ascii="Book Antiqua" w:hAnsi="Book Antiqua"/>
        </w:rPr>
        <w:t xml:space="preserve"> et 3</w:t>
      </w:r>
      <w:r>
        <w:rPr>
          <w:rFonts w:ascii="Book Antiqua" w:hAnsi="Book Antiqua"/>
          <w:vertAlign w:val="superscript"/>
        </w:rPr>
        <w:t>ème</w:t>
      </w:r>
      <w:r>
        <w:rPr>
          <w:rFonts w:ascii="Book Antiqua" w:hAnsi="Book Antiqua"/>
        </w:rPr>
        <w:t xml:space="preserve"> degrés de l’enseignement secondaire et qui n’en sont pas encore titulaires</w:t>
      </w:r>
      <w:r>
        <w:rPr>
          <w:rStyle w:val="Appelnotedebasdep"/>
          <w:rFonts w:ascii="Book Antiqua" w:eastAsiaTheme="majorEastAsia" w:hAnsi="Book Antiqua"/>
          <w:color w:val="000000"/>
        </w:rPr>
        <w:footnoteReference w:id="108"/>
      </w:r>
      <w:r>
        <w:rPr>
          <w:rFonts w:ascii="Book Antiqua" w:hAnsi="Book Antiqua"/>
        </w:rPr>
        <w:t>.</w:t>
      </w:r>
    </w:p>
    <w:p>
      <w:pPr>
        <w:spacing w:after="120"/>
        <w:ind w:left="1418"/>
        <w:jc w:val="both"/>
        <w:rPr>
          <w:rFonts w:ascii="Book Antiqua" w:hAnsi="Book Antiqua" w:cs="Book Antiqua"/>
          <w:color w:val="000000"/>
        </w:rPr>
      </w:pPr>
      <w:r>
        <w:rPr>
          <w:rFonts w:ascii="Book Antiqua" w:hAnsi="Book Antiqua" w:cs="Book Antiqua"/>
          <w:b/>
          <w:color w:val="000000"/>
        </w:rPr>
        <w:t>L’attestation d’orientation A</w:t>
      </w:r>
      <w:r>
        <w:rPr>
          <w:rFonts w:ascii="Book Antiqua" w:hAnsi="Book Antiqua" w:cs="Book Antiqua"/>
          <w:color w:val="000000"/>
        </w:rPr>
        <w:t xml:space="preserve"> est délivrée à tout élève qui a terminé avec fruit une des années d’études de l’enseignement secondaire en alternance tel que visé à l’article 2bis §1</w:t>
      </w:r>
      <w:r>
        <w:rPr>
          <w:rFonts w:ascii="Book Antiqua" w:hAnsi="Book Antiqua" w:cs="Book Antiqua"/>
          <w:color w:val="000000"/>
          <w:vertAlign w:val="superscript"/>
        </w:rPr>
        <w:t>er</w:t>
      </w:r>
      <w:r>
        <w:rPr>
          <w:rFonts w:ascii="Book Antiqua" w:hAnsi="Book Antiqua" w:cs="Book Antiqua"/>
          <w:color w:val="000000"/>
        </w:rPr>
        <w:t xml:space="preserve">, 1° (formation « article 49 ») et précise que l’élève peut être admis, </w:t>
      </w:r>
      <w:r>
        <w:rPr>
          <w:rFonts w:ascii="Book Antiqua" w:hAnsi="Book Antiqua" w:cs="Book Antiqua"/>
          <w:b/>
          <w:color w:val="000000"/>
        </w:rPr>
        <w:t>sans aucune restriction,</w:t>
      </w:r>
      <w:r>
        <w:rPr>
          <w:rFonts w:ascii="Book Antiqua" w:hAnsi="Book Antiqua" w:cs="Book Antiqua"/>
          <w:color w:val="000000"/>
        </w:rPr>
        <w:t xml:space="preserve"> dans l’année supérieure conformément aux conditions d’admission. Cette attestation n’est pas délivrée au terme de la 6</w:t>
      </w:r>
      <w:r>
        <w:rPr>
          <w:rFonts w:ascii="Book Antiqua" w:hAnsi="Book Antiqua" w:cs="Book Antiqua"/>
          <w:color w:val="000000"/>
          <w:vertAlign w:val="superscript"/>
        </w:rPr>
        <w:t>ème</w:t>
      </w:r>
      <w:r>
        <w:rPr>
          <w:rFonts w:ascii="Book Antiqua" w:hAnsi="Book Antiqua" w:cs="Book Antiqua"/>
          <w:color w:val="000000"/>
        </w:rPr>
        <w:t xml:space="preserve"> année secondaire puisque cette année est sanctionnée soit par un C.E.S.S. pour l’enseignement secondaire technique de qualification, soit par un certificat d’études 6P (CE6P) pour l’enseignement secondaire professionnel.</w:t>
      </w:r>
    </w:p>
    <w:p>
      <w:pPr>
        <w:pStyle w:val="Titre1"/>
        <w:tabs>
          <w:tab w:val="clear" w:pos="1349"/>
        </w:tabs>
        <w:spacing w:after="120"/>
        <w:ind w:left="1418" w:firstLine="0"/>
        <w:jc w:val="both"/>
        <w:rPr>
          <w:rFonts w:ascii="Book Antiqua" w:hAnsi="Book Antiqua" w:cs="Book Antiqua"/>
          <w:b w:val="0"/>
          <w:color w:val="000000"/>
          <w:sz w:val="20"/>
          <w:szCs w:val="20"/>
        </w:rPr>
      </w:pPr>
      <w:r>
        <w:rPr>
          <w:rFonts w:ascii="Book Antiqua" w:hAnsi="Book Antiqua" w:cs="Book Antiqua"/>
          <w:color w:val="000000"/>
          <w:sz w:val="20"/>
          <w:szCs w:val="20"/>
        </w:rPr>
        <w:t xml:space="preserve">L’attestation d’orientation B </w:t>
      </w:r>
      <w:r>
        <w:rPr>
          <w:rFonts w:ascii="Book Antiqua" w:hAnsi="Book Antiqua" w:cs="Book Antiqua"/>
          <w:b w:val="0"/>
          <w:color w:val="000000"/>
          <w:sz w:val="20"/>
          <w:szCs w:val="20"/>
        </w:rPr>
        <w:t>est délivrée</w:t>
      </w:r>
      <w:r>
        <w:rPr>
          <w:rFonts w:ascii="Book Antiqua" w:hAnsi="Book Antiqua" w:cs="Book Antiqua"/>
          <w:color w:val="000000"/>
          <w:sz w:val="20"/>
          <w:szCs w:val="20"/>
        </w:rPr>
        <w:t xml:space="preserve"> </w:t>
      </w:r>
      <w:r>
        <w:rPr>
          <w:rFonts w:ascii="Book Antiqua" w:hAnsi="Book Antiqua" w:cs="Book Antiqua"/>
          <w:b w:val="0"/>
          <w:color w:val="000000"/>
          <w:sz w:val="20"/>
          <w:szCs w:val="20"/>
        </w:rPr>
        <w:t>à tout élève qui a terminé avec fruit une des années d’études de l’enseignement secondaire en alternance tel que visé à l’article 2bis §1</w:t>
      </w:r>
      <w:r>
        <w:rPr>
          <w:rFonts w:ascii="Book Antiqua" w:hAnsi="Book Antiqua" w:cs="Book Antiqua"/>
          <w:b w:val="0"/>
          <w:color w:val="000000"/>
          <w:sz w:val="20"/>
          <w:szCs w:val="20"/>
          <w:vertAlign w:val="superscript"/>
        </w:rPr>
        <w:t>er</w:t>
      </w:r>
      <w:r>
        <w:rPr>
          <w:rFonts w:ascii="Book Antiqua" w:hAnsi="Book Antiqua" w:cs="Book Antiqua"/>
          <w:b w:val="0"/>
          <w:color w:val="000000"/>
          <w:sz w:val="20"/>
          <w:szCs w:val="20"/>
        </w:rPr>
        <w:t xml:space="preserve">, 1° (formation « article 49 ») et précise que l’élève peut être admis, avec restriction, dans l’année </w:t>
      </w:r>
      <w:r>
        <w:rPr>
          <w:rFonts w:ascii="Book Antiqua" w:hAnsi="Book Antiqua" w:cs="Book Antiqua"/>
          <w:b w:val="0"/>
          <w:color w:val="000000"/>
          <w:sz w:val="20"/>
          <w:szCs w:val="20"/>
        </w:rPr>
        <w:lastRenderedPageBreak/>
        <w:t>supérieure conformément aux conditions d’admission. Cette attestation n’est pas délivrée au terme de la 6</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année secondaire. </w:t>
      </w:r>
    </w:p>
    <w:p>
      <w:pPr>
        <w:spacing w:after="120"/>
        <w:ind w:left="1418"/>
        <w:jc w:val="both"/>
        <w:rPr>
          <w:rFonts w:ascii="Book Antiqua" w:hAnsi="Book Antiqua" w:cs="Book Antiqua"/>
          <w:color w:val="000000"/>
        </w:rPr>
      </w:pPr>
      <w:r>
        <w:rPr>
          <w:rFonts w:ascii="Book Antiqua" w:hAnsi="Book Antiqua" w:cs="Book Antiqua"/>
          <w:b/>
          <w:color w:val="000000"/>
        </w:rPr>
        <w:t>L’attestation d’orientation C</w:t>
      </w:r>
      <w:r>
        <w:rPr>
          <w:rFonts w:ascii="Book Antiqua" w:hAnsi="Book Antiqua" w:cs="Book Antiqua"/>
          <w:color w:val="000000"/>
        </w:rPr>
        <w:t xml:space="preserve"> est délivrée à tout élève qui n’a pas terminé avec fruit une des années d’études de l’enseignement secondaire en alternance tel que visé à l’article 2bis § 1</w:t>
      </w:r>
      <w:r>
        <w:rPr>
          <w:rFonts w:ascii="Book Antiqua" w:hAnsi="Book Antiqua" w:cs="Book Antiqua"/>
          <w:color w:val="000000"/>
          <w:vertAlign w:val="superscript"/>
        </w:rPr>
        <w:t>er</w:t>
      </w:r>
      <w:r>
        <w:rPr>
          <w:rFonts w:ascii="Book Antiqua" w:hAnsi="Book Antiqua" w:cs="Book Antiqua"/>
          <w:color w:val="000000"/>
        </w:rPr>
        <w:t xml:space="preserve"> – 1° et précise que l’élève ne peut être admis dans l’année d’études supérieure conformément aux conditions d’admission. Cette attestation peut être délivrée au terme d’une 6</w:t>
      </w:r>
      <w:r>
        <w:rPr>
          <w:rFonts w:ascii="Book Antiqua" w:hAnsi="Book Antiqua" w:cs="Book Antiqua"/>
          <w:color w:val="000000"/>
          <w:vertAlign w:val="superscript"/>
        </w:rPr>
        <w:t>ème</w:t>
      </w:r>
      <w:r>
        <w:rPr>
          <w:rFonts w:ascii="Book Antiqua" w:hAnsi="Book Antiqua" w:cs="Book Antiqua"/>
          <w:color w:val="000000"/>
        </w:rPr>
        <w:t xml:space="preserve"> année secondaire.</w:t>
      </w:r>
    </w:p>
    <w:p>
      <w:pPr>
        <w:spacing w:after="120"/>
        <w:ind w:left="1418"/>
        <w:jc w:val="both"/>
        <w:rPr>
          <w:rFonts w:ascii="Book Antiqua" w:hAnsi="Book Antiqua" w:cs="Book Antiqua"/>
          <w:color w:val="000000"/>
        </w:rPr>
      </w:pPr>
      <w:r>
        <w:rPr>
          <w:rFonts w:ascii="Book Antiqua" w:hAnsi="Book Antiqua" w:cs="Book Antiqua"/>
          <w:color w:val="000000"/>
        </w:rPr>
        <w:t>A l’instar de ce qui est autorisé dans l’enseignement de plein exercice</w:t>
      </w:r>
      <w:r>
        <w:rPr>
          <w:rStyle w:val="Caractresdenotedebasdepage"/>
          <w:rFonts w:ascii="Book Antiqua" w:hAnsi="Book Antiqua" w:cs="Book Antiqua"/>
          <w:color w:val="000000"/>
        </w:rPr>
        <w:footnoteReference w:id="109"/>
      </w:r>
      <w:r>
        <w:rPr>
          <w:rFonts w:ascii="Book Antiqua" w:hAnsi="Book Antiqua" w:cs="Book Antiqua"/>
          <w:color w:val="000000"/>
        </w:rPr>
        <w:t>, les CEFA qui organisent des formations « Article 49 » au 2</w:t>
      </w:r>
      <w:r>
        <w:rPr>
          <w:rFonts w:ascii="Book Antiqua" w:hAnsi="Book Antiqua" w:cs="Book Antiqua"/>
          <w:color w:val="000000"/>
          <w:vertAlign w:val="superscript"/>
        </w:rPr>
        <w:t>ème</w:t>
      </w:r>
      <w:r>
        <w:rPr>
          <w:rFonts w:ascii="Book Antiqua" w:hAnsi="Book Antiqua" w:cs="Book Antiqua"/>
          <w:color w:val="000000"/>
        </w:rPr>
        <w:t xml:space="preserve"> degré peuvent être autorisés par le Ministre (la demande étant introduite auprès de la Direction générale de l’enseignement obligatoire) à ne pas délivrer d’attestation d’orientation d’études au terme de la 3</w:t>
      </w:r>
      <w:r>
        <w:rPr>
          <w:rFonts w:ascii="Book Antiqua" w:hAnsi="Book Antiqua" w:cs="Book Antiqua"/>
          <w:color w:val="000000"/>
          <w:vertAlign w:val="superscript"/>
        </w:rPr>
        <w:t>ème</w:t>
      </w:r>
      <w:r>
        <w:rPr>
          <w:rFonts w:ascii="Book Antiqua" w:hAnsi="Book Antiqua" w:cs="Book Antiqua"/>
          <w:color w:val="000000"/>
        </w:rPr>
        <w:t xml:space="preserve"> année professionnelle mais bien au terme du degré ; dans ce cas, les CEFA délivreront un </w:t>
      </w:r>
      <w:r>
        <w:rPr>
          <w:rFonts w:ascii="Book Antiqua" w:hAnsi="Book Antiqua" w:cs="Book Antiqua"/>
          <w:b/>
          <w:color w:val="000000"/>
        </w:rPr>
        <w:t>rapport sur les compétences acquises au terme de la 1</w:t>
      </w:r>
      <w:r>
        <w:rPr>
          <w:rFonts w:ascii="Book Antiqua" w:hAnsi="Book Antiqua" w:cs="Book Antiqua"/>
          <w:b/>
          <w:color w:val="000000"/>
          <w:vertAlign w:val="superscript"/>
        </w:rPr>
        <w:t>ère</w:t>
      </w:r>
      <w:r>
        <w:rPr>
          <w:rFonts w:ascii="Book Antiqua" w:hAnsi="Book Antiqua" w:cs="Book Antiqua"/>
          <w:b/>
          <w:color w:val="000000"/>
        </w:rPr>
        <w:t xml:space="preserve"> année du 2</w:t>
      </w:r>
      <w:r>
        <w:rPr>
          <w:rFonts w:ascii="Book Antiqua" w:hAnsi="Book Antiqua" w:cs="Book Antiqua"/>
          <w:b/>
          <w:color w:val="000000"/>
          <w:vertAlign w:val="superscript"/>
        </w:rPr>
        <w:t>ème</w:t>
      </w:r>
      <w:r>
        <w:rPr>
          <w:rFonts w:ascii="Book Antiqua" w:hAnsi="Book Antiqua" w:cs="Book Antiqua"/>
          <w:b/>
          <w:color w:val="000000"/>
        </w:rPr>
        <w:t xml:space="preserve"> degré de l’enseignement professionnel et une des 3 attestations d’orientation citées ci-dessus, couvrant l’ensemble du degré, au terme de la 4</w:t>
      </w:r>
      <w:r>
        <w:rPr>
          <w:rFonts w:ascii="Book Antiqua" w:hAnsi="Book Antiqua" w:cs="Book Antiqua"/>
          <w:b/>
          <w:color w:val="000000"/>
          <w:vertAlign w:val="superscript"/>
        </w:rPr>
        <w:t>ème</w:t>
      </w:r>
      <w:r>
        <w:rPr>
          <w:rFonts w:ascii="Book Antiqua" w:hAnsi="Book Antiqua" w:cs="Book Antiqua"/>
          <w:b/>
          <w:color w:val="000000"/>
        </w:rPr>
        <w:t xml:space="preserve"> année</w:t>
      </w:r>
      <w:r>
        <w:rPr>
          <w:rFonts w:ascii="Book Antiqua" w:hAnsi="Book Antiqua" w:cs="Book Antiqua"/>
          <w:color w:val="000000"/>
        </w:rPr>
        <w:t>.</w:t>
      </w:r>
    </w:p>
    <w:p>
      <w:pPr>
        <w:spacing w:after="120"/>
        <w:ind w:left="1418"/>
        <w:jc w:val="both"/>
        <w:rPr>
          <w:rFonts w:ascii="Book Antiqua" w:hAnsi="Book Antiqua" w:cs="Book Antiqua"/>
          <w:b/>
          <w:color w:val="000000"/>
        </w:rPr>
      </w:pPr>
      <w:r>
        <w:rPr>
          <w:rFonts w:ascii="Book Antiqua" w:hAnsi="Book Antiqua" w:cs="Book Antiqua"/>
          <w:b/>
          <w:color w:val="000000"/>
        </w:rPr>
        <w:t>Les 3 attestations d’orientation d’études susvisées</w:t>
      </w:r>
      <w:r>
        <w:rPr>
          <w:rFonts w:ascii="Book Antiqua" w:hAnsi="Book Antiqua" w:cs="Book Antiqua"/>
          <w:color w:val="000000"/>
        </w:rPr>
        <w:t xml:space="preserve"> peuvent également être délivrées </w:t>
      </w:r>
      <w:r>
        <w:rPr>
          <w:rFonts w:ascii="Book Antiqua" w:hAnsi="Book Antiqua" w:cs="Book Antiqua"/>
          <w:b/>
          <w:color w:val="000000"/>
        </w:rPr>
        <w:t xml:space="preserve">sous réserve </w:t>
      </w:r>
      <w:r>
        <w:rPr>
          <w:rFonts w:ascii="Book Antiqua" w:hAnsi="Book Antiqua" w:cs="Book Antiqua"/>
          <w:color w:val="000000"/>
        </w:rPr>
        <w:t>aux étudiants de l’enseignement en alternance qui sont en attente d’une décision d’équivalence ou qui connaissent une difficulté administrative liée aux conditions d’admission.</w:t>
      </w:r>
      <w:r>
        <w:rPr>
          <w:rFonts w:ascii="Book Antiqua" w:hAnsi="Book Antiqua" w:cs="Book Antiqua"/>
          <w:b/>
          <w:color w:val="000000"/>
        </w:rPr>
        <w:t xml:space="preserve"> </w:t>
      </w:r>
    </w:p>
    <w:p>
      <w:pPr>
        <w:spacing w:after="120"/>
        <w:ind w:left="1418"/>
        <w:jc w:val="both"/>
        <w:rPr>
          <w:rFonts w:ascii="Book Antiqua" w:hAnsi="Book Antiqua" w:cs="Book Antiqua"/>
          <w:color w:val="000000"/>
        </w:rPr>
      </w:pPr>
      <w:r>
        <w:rPr>
          <w:rFonts w:ascii="Book Antiqua" w:hAnsi="Book Antiqua" w:cs="Book Antiqua"/>
          <w:b/>
          <w:color w:val="000000"/>
        </w:rPr>
        <w:t xml:space="preserve">Un certificat d’enseignement secondaire professionnel en alternance du deuxième degré </w:t>
      </w:r>
      <w:r>
        <w:rPr>
          <w:rFonts w:ascii="Book Antiqua" w:hAnsi="Book Antiqua" w:cs="Book Antiqua"/>
          <w:color w:val="000000"/>
        </w:rPr>
        <w:t>est délivré à tout élève régulier qui a terminé avec fruit la 4</w:t>
      </w:r>
      <w:r>
        <w:rPr>
          <w:rFonts w:ascii="Book Antiqua" w:hAnsi="Book Antiqua" w:cs="Book Antiqua"/>
          <w:color w:val="000000"/>
          <w:vertAlign w:val="superscript"/>
        </w:rPr>
        <w:t>ème</w:t>
      </w:r>
      <w:r>
        <w:rPr>
          <w:rFonts w:ascii="Book Antiqua" w:hAnsi="Book Antiqua" w:cs="Book Antiqua"/>
          <w:color w:val="000000"/>
        </w:rPr>
        <w:t xml:space="preserve"> année d’études de l’enseignement secondaire professionnel en alternance « article 49 »</w:t>
      </w:r>
      <w:r>
        <w:rPr>
          <w:rStyle w:val="Caractresdenotedebasdepage"/>
          <w:rFonts w:ascii="Book Antiqua" w:hAnsi="Book Antiqua" w:cs="Book Antiqua"/>
          <w:color w:val="000000"/>
        </w:rPr>
        <w:footnoteReference w:id="110"/>
      </w:r>
      <w:r>
        <w:rPr>
          <w:rFonts w:ascii="Book Antiqua" w:hAnsi="Book Antiqua" w:cs="Book Antiqua"/>
          <w:color w:val="000000"/>
        </w:rPr>
        <w:t>. Ce certificat ne fait pas l’objet d’une homologation. Il est délivré en complément de l’attestation d’orientation A ou B de 4</w:t>
      </w:r>
      <w:r>
        <w:rPr>
          <w:rFonts w:ascii="Book Antiqua" w:hAnsi="Book Antiqua" w:cs="Book Antiqua"/>
          <w:color w:val="000000"/>
          <w:vertAlign w:val="superscript"/>
        </w:rPr>
        <w:t>ème</w:t>
      </w:r>
      <w:r>
        <w:rPr>
          <w:rFonts w:ascii="Book Antiqua" w:hAnsi="Book Antiqua" w:cs="Book Antiqua"/>
          <w:color w:val="000000"/>
        </w:rPr>
        <w:t xml:space="preserve"> année. </w:t>
      </w:r>
    </w:p>
    <w:p>
      <w:pPr>
        <w:ind w:left="1418"/>
        <w:jc w:val="both"/>
        <w:rPr>
          <w:rFonts w:ascii="Book Antiqua" w:hAnsi="Book Antiqua" w:cs="Book Antiqua"/>
          <w:color w:val="000000"/>
        </w:rPr>
      </w:pPr>
      <w:r>
        <w:rPr>
          <w:rFonts w:ascii="Book Antiqua" w:hAnsi="Book Antiqua" w:cs="Book Antiqua"/>
          <w:color w:val="000000"/>
        </w:rPr>
        <w:t xml:space="preserve">Le </w:t>
      </w:r>
      <w:r>
        <w:rPr>
          <w:rFonts w:ascii="Book Antiqua" w:hAnsi="Book Antiqua" w:cs="Book Antiqua"/>
          <w:b/>
          <w:color w:val="000000"/>
        </w:rPr>
        <w:t>certificat d’enseignement secondaire supérieur</w:t>
      </w:r>
      <w:r>
        <w:rPr>
          <w:rFonts w:ascii="Book Antiqua" w:hAnsi="Book Antiqua" w:cs="Book Antiqua"/>
          <w:color w:val="000000"/>
        </w:rPr>
        <w:t xml:space="preserve"> est délivré aux élèves qui ont terminé avec fruit : </w:t>
      </w:r>
    </w:p>
    <w:p>
      <w:pPr>
        <w:numPr>
          <w:ilvl w:val="0"/>
          <w:numId w:val="8"/>
        </w:numPr>
        <w:tabs>
          <w:tab w:val="num" w:pos="1069"/>
        </w:tabs>
        <w:ind w:left="1843" w:hanging="425"/>
        <w:jc w:val="both"/>
        <w:rPr>
          <w:rFonts w:ascii="Book Antiqua" w:hAnsi="Book Antiqua" w:cs="Book Antiqua"/>
        </w:rPr>
      </w:pPr>
      <w:r>
        <w:rPr>
          <w:rFonts w:ascii="Book Antiqua" w:hAnsi="Book Antiqua" w:cs="Book Antiqua"/>
        </w:rPr>
        <w:t>les 2 dernières années d’études de l’enseignement secondaire (plein exercice et/ou alternance) technique de qualification dans la même section et dans la même orientation d’études ;</w:t>
      </w:r>
    </w:p>
    <w:p>
      <w:pPr>
        <w:numPr>
          <w:ilvl w:val="0"/>
          <w:numId w:val="8"/>
        </w:numPr>
        <w:tabs>
          <w:tab w:val="num" w:pos="1069"/>
        </w:tabs>
        <w:ind w:left="1843" w:hanging="425"/>
        <w:jc w:val="both"/>
        <w:rPr>
          <w:rFonts w:ascii="Book Antiqua" w:hAnsi="Book Antiqua" w:cs="Book Antiqua"/>
        </w:rPr>
      </w:pPr>
      <w:r>
        <w:rPr>
          <w:rFonts w:ascii="Book Antiqua" w:hAnsi="Book Antiqua" w:cs="Book Antiqua"/>
        </w:rPr>
        <w:t>la 7</w:t>
      </w:r>
      <w:r>
        <w:rPr>
          <w:rFonts w:ascii="Book Antiqua" w:hAnsi="Book Antiqua" w:cs="Book Antiqua"/>
          <w:vertAlign w:val="superscript"/>
        </w:rPr>
        <w:t>ème</w:t>
      </w:r>
      <w:r>
        <w:rPr>
          <w:rFonts w:ascii="Book Antiqua" w:hAnsi="Book Antiqua" w:cs="Book Antiqua"/>
        </w:rPr>
        <w:t xml:space="preserve"> année d’études de perfectionnement ou de spécialisation de type B organisée au terme du 3</w:t>
      </w:r>
      <w:r>
        <w:rPr>
          <w:rFonts w:ascii="Book Antiqua" w:hAnsi="Book Antiqua" w:cs="Book Antiqua"/>
          <w:vertAlign w:val="superscript"/>
        </w:rPr>
        <w:t>ème</w:t>
      </w:r>
      <w:r>
        <w:rPr>
          <w:rFonts w:ascii="Book Antiqua" w:hAnsi="Book Antiqua" w:cs="Book Antiqua"/>
        </w:rPr>
        <w:t xml:space="preserve"> degré de l’enseignement secondaire professionnel après avoir terminé avec fruit une 6</w:t>
      </w:r>
      <w:r>
        <w:rPr>
          <w:rFonts w:ascii="Book Antiqua" w:hAnsi="Book Antiqua" w:cs="Book Antiqua"/>
          <w:vertAlign w:val="superscript"/>
        </w:rPr>
        <w:t>ème</w:t>
      </w:r>
      <w:r>
        <w:rPr>
          <w:rFonts w:ascii="Book Antiqua" w:hAnsi="Book Antiqua" w:cs="Book Antiqua"/>
        </w:rPr>
        <w:t xml:space="preserve"> année d’études de l’enseignement secondaire professionnel (plein exercice ou alternance).</w:t>
      </w:r>
      <w:r>
        <w:rPr>
          <w:rStyle w:val="Caractresdenotedebasdepage"/>
          <w:rFonts w:ascii="Book Antiqua" w:hAnsi="Book Antiqua" w:cs="Book Antiqua"/>
        </w:rPr>
        <w:footnoteReference w:id="111"/>
      </w:r>
    </w:p>
    <w:p>
      <w:pPr>
        <w:ind w:left="1418"/>
        <w:jc w:val="both"/>
        <w:rPr>
          <w:rFonts w:ascii="Book Antiqua" w:hAnsi="Book Antiqua" w:cs="Book Antiqua"/>
        </w:rPr>
      </w:pPr>
    </w:p>
    <w:p>
      <w:pPr>
        <w:spacing w:after="120"/>
        <w:ind w:left="1418"/>
        <w:jc w:val="both"/>
        <w:rPr>
          <w:rFonts w:ascii="Book Antiqua" w:hAnsi="Book Antiqua" w:cs="Book Antiqua"/>
          <w:color w:val="000000"/>
        </w:rPr>
      </w:pPr>
      <w:r>
        <w:rPr>
          <w:rFonts w:ascii="Book Antiqua" w:hAnsi="Book Antiqua" w:cs="Book Antiqua"/>
          <w:color w:val="000000"/>
        </w:rPr>
        <w:t xml:space="preserve">Le </w:t>
      </w:r>
      <w:r>
        <w:rPr>
          <w:rFonts w:ascii="Book Antiqua" w:hAnsi="Book Antiqua" w:cs="Book Antiqua"/>
          <w:b/>
          <w:color w:val="000000"/>
        </w:rPr>
        <w:t>certificat d’études de 6</w:t>
      </w:r>
      <w:r>
        <w:rPr>
          <w:rFonts w:ascii="Book Antiqua" w:hAnsi="Book Antiqua" w:cs="Book Antiqua"/>
          <w:b/>
          <w:color w:val="000000"/>
          <w:vertAlign w:val="superscript"/>
        </w:rPr>
        <w:t>ème</w:t>
      </w:r>
      <w:r>
        <w:rPr>
          <w:rFonts w:ascii="Book Antiqua" w:hAnsi="Book Antiqua" w:cs="Book Antiqua"/>
          <w:b/>
          <w:color w:val="000000"/>
        </w:rPr>
        <w:t xml:space="preserve"> année de l’enseignement secondaire professionnel </w:t>
      </w:r>
      <w:r>
        <w:rPr>
          <w:rFonts w:ascii="Book Antiqua" w:hAnsi="Book Antiqua" w:cs="Book Antiqua"/>
          <w:color w:val="000000"/>
        </w:rPr>
        <w:t>est délivré aux élèves qui ont terminé avec fruit la 6</w:t>
      </w:r>
      <w:r>
        <w:rPr>
          <w:rFonts w:ascii="Book Antiqua" w:hAnsi="Book Antiqua" w:cs="Book Antiqua"/>
          <w:color w:val="000000"/>
          <w:vertAlign w:val="superscript"/>
        </w:rPr>
        <w:t>ème</w:t>
      </w:r>
      <w:r>
        <w:rPr>
          <w:rFonts w:ascii="Book Antiqua" w:hAnsi="Book Antiqua" w:cs="Book Antiqua"/>
          <w:color w:val="000000"/>
        </w:rPr>
        <w:t xml:space="preserve"> année d’études de l’enseignement secondaire professionnel.</w:t>
      </w:r>
      <w:r>
        <w:rPr>
          <w:rStyle w:val="Caractresdenotedebasdepage"/>
          <w:rFonts w:ascii="Book Antiqua" w:hAnsi="Book Antiqua" w:cs="Book Antiqua"/>
          <w:color w:val="000000"/>
        </w:rPr>
        <w:footnoteReference w:id="112"/>
      </w:r>
    </w:p>
    <w:p>
      <w:pPr>
        <w:spacing w:after="120"/>
        <w:ind w:left="1418"/>
        <w:jc w:val="both"/>
        <w:rPr>
          <w:rFonts w:ascii="Book Antiqua" w:hAnsi="Book Antiqua" w:cs="Book Antiqua"/>
        </w:rPr>
      </w:pPr>
      <w:r>
        <w:rPr>
          <w:rFonts w:ascii="Book Antiqua" w:hAnsi="Book Antiqua" w:cs="Book Antiqua"/>
        </w:rPr>
        <w:t xml:space="preserve">Un </w:t>
      </w:r>
      <w:r>
        <w:rPr>
          <w:rFonts w:ascii="Book Antiqua" w:hAnsi="Book Antiqua" w:cs="Book Antiqua"/>
          <w:b/>
        </w:rPr>
        <w:t>certificat de qualification de 6</w:t>
      </w:r>
      <w:r>
        <w:rPr>
          <w:rFonts w:ascii="Book Antiqua" w:hAnsi="Book Antiqua" w:cs="Book Antiqua"/>
          <w:b/>
          <w:vertAlign w:val="superscript"/>
        </w:rPr>
        <w:t>ème</w:t>
      </w:r>
      <w:r>
        <w:rPr>
          <w:rFonts w:ascii="Book Antiqua" w:hAnsi="Book Antiqua" w:cs="Book Antiqua"/>
          <w:b/>
        </w:rPr>
        <w:t xml:space="preserve"> année de l’enseignement secondaire en alternance</w:t>
      </w:r>
      <w:r>
        <w:rPr>
          <w:rFonts w:ascii="Book Antiqua" w:hAnsi="Book Antiqua" w:cs="Book Antiqua"/>
        </w:rPr>
        <w:t xml:space="preserve"> est délivré à tout élève qui a suivi en qualité d’élève régulier la 6</w:t>
      </w:r>
      <w:r>
        <w:rPr>
          <w:rFonts w:ascii="Book Antiqua" w:hAnsi="Book Antiqua" w:cs="Book Antiqua"/>
          <w:vertAlign w:val="superscript"/>
        </w:rPr>
        <w:t>ème</w:t>
      </w:r>
      <w:r>
        <w:rPr>
          <w:rFonts w:ascii="Book Antiqua" w:hAnsi="Book Antiqua" w:cs="Book Antiqua"/>
        </w:rPr>
        <w:t xml:space="preserve"> année de l’enseignement secondaire de qualification « article 49 » et a subi avec succès, devant le jury, les épreuves de qualification et a atteint les compétences fixées par le profil de formation</w:t>
      </w:r>
      <w:r>
        <w:rPr>
          <w:rStyle w:val="Caractresdenotedebasdepage"/>
          <w:rFonts w:ascii="Book Antiqua" w:hAnsi="Book Antiqua" w:cs="Book Antiqua"/>
        </w:rPr>
        <w:footnoteReference w:id="113"/>
      </w:r>
      <w:r>
        <w:rPr>
          <w:rFonts w:ascii="Book Antiqua" w:hAnsi="Book Antiqua" w:cs="Book Antiqua"/>
        </w:rPr>
        <w:t xml:space="preserve">. </w:t>
      </w:r>
    </w:p>
    <w:p>
      <w:pPr>
        <w:spacing w:after="120"/>
        <w:ind w:left="1418"/>
        <w:jc w:val="both"/>
        <w:rPr>
          <w:rFonts w:ascii="Book Antiqua" w:hAnsi="Book Antiqua" w:cs="Book Antiqua"/>
          <w:color w:val="000000"/>
          <w:lang w:val="fr-BE"/>
        </w:rPr>
      </w:pPr>
    </w:p>
    <w:p>
      <w:pPr>
        <w:spacing w:after="120"/>
        <w:ind w:left="1418"/>
        <w:jc w:val="both"/>
        <w:rPr>
          <w:rFonts w:ascii="Book Antiqua" w:hAnsi="Book Antiqua" w:cs="Book Antiqua"/>
        </w:rPr>
      </w:pPr>
      <w:r>
        <w:rPr>
          <w:rFonts w:ascii="Book Antiqua" w:hAnsi="Book Antiqua" w:cs="Book Antiqua"/>
        </w:rPr>
        <w:t xml:space="preserve">Un </w:t>
      </w:r>
      <w:r>
        <w:rPr>
          <w:rFonts w:ascii="Book Antiqua" w:hAnsi="Book Antiqua" w:cs="Book Antiqua"/>
          <w:b/>
        </w:rPr>
        <w:t xml:space="preserve">certificat de qualification de septième année de l’enseignement secondaire en alternance </w:t>
      </w:r>
      <w:r>
        <w:rPr>
          <w:rFonts w:ascii="Book Antiqua" w:hAnsi="Book Antiqua" w:cs="Book Antiqua"/>
        </w:rPr>
        <w:t>sera délivré à tout élève qui aura suivi en qualité d’élève régulier la 7</w:t>
      </w:r>
      <w:r>
        <w:rPr>
          <w:rFonts w:ascii="Book Antiqua" w:hAnsi="Book Antiqua" w:cs="Book Antiqua"/>
          <w:vertAlign w:val="superscript"/>
        </w:rPr>
        <w:t>ème</w:t>
      </w:r>
      <w:r>
        <w:rPr>
          <w:rFonts w:ascii="Book Antiqua" w:hAnsi="Book Antiqua" w:cs="Book Antiqua"/>
        </w:rPr>
        <w:t xml:space="preserve"> année qualifiante de l’enseignement secondaire en alternance « article 49 » et aura subi avec succès, </w:t>
      </w:r>
      <w:r>
        <w:rPr>
          <w:rFonts w:ascii="Book Antiqua" w:hAnsi="Book Antiqua" w:cs="Book Antiqua"/>
        </w:rPr>
        <w:lastRenderedPageBreak/>
        <w:t>devant le jury, les épreuves de qualification</w:t>
      </w:r>
      <w:r>
        <w:rPr>
          <w:rStyle w:val="Caractresdenotedebasdepage"/>
          <w:rFonts w:ascii="Book Antiqua" w:hAnsi="Book Antiqua" w:cs="Book Antiqua"/>
        </w:rPr>
        <w:footnoteReference w:id="114"/>
      </w:r>
      <w:r>
        <w:rPr>
          <w:rFonts w:ascii="Book Antiqua" w:hAnsi="Book Antiqua" w:cs="Book Antiqua"/>
        </w:rPr>
        <w:t xml:space="preserve"> liées au profil de formation lorsqu’ils auront été élaborés et approuvés</w:t>
      </w:r>
      <w:r>
        <w:rPr>
          <w:rStyle w:val="Caractresdenotedebasdepage"/>
          <w:rFonts w:ascii="Book Antiqua" w:hAnsi="Book Antiqua" w:cs="Book Antiqua"/>
        </w:rPr>
        <w:footnoteReference w:id="115"/>
      </w:r>
      <w:r>
        <w:rPr>
          <w:rFonts w:ascii="Book Antiqua" w:hAnsi="Book Antiqua" w:cs="Book Antiqua"/>
        </w:rPr>
        <w:t xml:space="preserve">. </w:t>
      </w:r>
    </w:p>
    <w:p>
      <w:pPr>
        <w:spacing w:after="120"/>
        <w:ind w:left="1418"/>
        <w:jc w:val="both"/>
        <w:rPr>
          <w:rFonts w:ascii="Book Antiqua" w:hAnsi="Book Antiqua"/>
        </w:rPr>
      </w:pPr>
      <w:r>
        <w:rPr>
          <w:rFonts w:ascii="Book Antiqua" w:hAnsi="Book Antiqua" w:cs="Book Antiqua"/>
          <w:color w:val="000000"/>
        </w:rPr>
        <w:t xml:space="preserve">La délivrance du certificat de qualification se fait de façon identique à celle des certificats de qualification de l’enseignement secondaire de plein exercice, </w:t>
      </w:r>
      <w:r>
        <w:rPr>
          <w:rFonts w:ascii="Book Antiqua" w:hAnsi="Book Antiqua"/>
        </w:rPr>
        <w:t>selon le schéma de passation approuvé par le Gouvernement, sur proposition des Pouvoirs organisateurs ou de leurs organes de représentation et de coordination.</w:t>
      </w:r>
    </w:p>
    <w:p>
      <w:pPr>
        <w:pStyle w:val="Retraitcorpsdetexte21"/>
        <w:spacing w:before="0"/>
        <w:ind w:left="1418"/>
        <w:rPr>
          <w:rFonts w:ascii="Book Antiqua" w:hAnsi="Book Antiqua" w:cs="Book Antiqua"/>
          <w:color w:val="000000"/>
          <w:sz w:val="20"/>
          <w:szCs w:val="20"/>
        </w:rPr>
      </w:pPr>
      <w:r>
        <w:rPr>
          <w:rFonts w:ascii="Book Antiqua" w:hAnsi="Book Antiqua" w:cs="Book Antiqua"/>
          <w:color w:val="000000"/>
          <w:sz w:val="20"/>
          <w:szCs w:val="20"/>
        </w:rPr>
        <w:t>Le coordonnateur et un accompagnateur sont associés à la délibération avec voix délibérative</w:t>
      </w:r>
      <w:r>
        <w:rPr>
          <w:rStyle w:val="Caractresdenotedebasdepage"/>
          <w:rFonts w:ascii="Book Antiqua" w:hAnsi="Book Antiqua" w:cs="Book Antiqua"/>
          <w:color w:val="000000"/>
          <w:sz w:val="20"/>
          <w:szCs w:val="20"/>
        </w:rPr>
        <w:footnoteReference w:id="116"/>
      </w:r>
      <w:r>
        <w:rPr>
          <w:rFonts w:ascii="Book Antiqua" w:hAnsi="Book Antiqua" w:cs="Book Antiqua"/>
          <w:color w:val="000000"/>
          <w:sz w:val="20"/>
          <w:szCs w:val="20"/>
        </w:rPr>
        <w:t>.</w:t>
      </w:r>
    </w:p>
    <w:p>
      <w:pPr>
        <w:pStyle w:val="Retraitcorpsdetexte21"/>
        <w:spacing w:before="0"/>
        <w:ind w:left="1418"/>
        <w:rPr>
          <w:rFonts w:ascii="Book Antiqua" w:hAnsi="Book Antiqua" w:cs="Book Antiqua"/>
          <w:color w:val="000000"/>
          <w:sz w:val="20"/>
          <w:szCs w:val="20"/>
        </w:rPr>
      </w:pPr>
    </w:p>
    <w:p>
      <w:pPr>
        <w:pStyle w:val="Retraitcorpsdetexte21"/>
        <w:spacing w:before="0"/>
        <w:ind w:left="1418"/>
        <w:rPr>
          <w:rFonts w:ascii="Book Antiqua" w:hAnsi="Book Antiqua" w:cs="Book Antiqua"/>
          <w:color w:val="000000"/>
          <w:sz w:val="20"/>
          <w:szCs w:val="20"/>
        </w:rPr>
      </w:pPr>
      <w:r>
        <w:rPr>
          <w:rFonts w:ascii="Book Antiqua" w:hAnsi="Book Antiqua" w:cs="Book Antiqua"/>
          <w:color w:val="000000"/>
          <w:sz w:val="20"/>
          <w:szCs w:val="20"/>
        </w:rPr>
        <w:t xml:space="preserve">Une </w:t>
      </w:r>
      <w:r>
        <w:rPr>
          <w:rFonts w:ascii="Book Antiqua" w:hAnsi="Book Antiqua" w:cs="Book Antiqua"/>
          <w:b/>
          <w:color w:val="000000"/>
          <w:sz w:val="20"/>
          <w:szCs w:val="20"/>
        </w:rPr>
        <w:t>attestation de compétences complémentaires au certificat de qualification obtenu au terme de la 6</w:t>
      </w:r>
      <w:r>
        <w:rPr>
          <w:rFonts w:ascii="Book Antiqua" w:hAnsi="Book Antiqua" w:cs="Book Antiqua"/>
          <w:b/>
          <w:color w:val="000000"/>
          <w:sz w:val="20"/>
          <w:szCs w:val="20"/>
          <w:vertAlign w:val="superscript"/>
        </w:rPr>
        <w:t>ème</w:t>
      </w:r>
      <w:r>
        <w:rPr>
          <w:rFonts w:ascii="Book Antiqua" w:hAnsi="Book Antiqua" w:cs="Book Antiqua"/>
          <w:b/>
          <w:color w:val="000000"/>
          <w:sz w:val="20"/>
          <w:szCs w:val="20"/>
        </w:rPr>
        <w:t xml:space="preserve"> année </w:t>
      </w:r>
      <w:r>
        <w:rPr>
          <w:rFonts w:ascii="Book Antiqua" w:hAnsi="Book Antiqua" w:cs="Book Antiqua"/>
          <w:color w:val="000000"/>
          <w:sz w:val="20"/>
          <w:szCs w:val="20"/>
        </w:rPr>
        <w:t>sera délivrée à tout élève qui aura atteint le niveau de compétences fixé par le programme des études de la 7</w:t>
      </w:r>
      <w:r>
        <w:rPr>
          <w:rFonts w:ascii="Book Antiqua" w:hAnsi="Book Antiqua" w:cs="Book Antiqua"/>
          <w:color w:val="000000"/>
          <w:sz w:val="20"/>
          <w:szCs w:val="20"/>
          <w:vertAlign w:val="superscript"/>
        </w:rPr>
        <w:t>ème</w:t>
      </w:r>
      <w:r>
        <w:rPr>
          <w:rFonts w:ascii="Book Antiqua" w:hAnsi="Book Antiqua" w:cs="Book Antiqua"/>
          <w:color w:val="000000"/>
          <w:sz w:val="20"/>
          <w:szCs w:val="20"/>
        </w:rPr>
        <w:t xml:space="preserve"> année complémentaire.</w:t>
      </w:r>
      <w:r>
        <w:rPr>
          <w:rStyle w:val="Caractresdenotedebasdepage"/>
          <w:rFonts w:ascii="Book Antiqua" w:hAnsi="Book Antiqua" w:cs="Book Antiqua"/>
          <w:color w:val="000000"/>
          <w:sz w:val="20"/>
          <w:szCs w:val="20"/>
        </w:rPr>
        <w:footnoteReference w:id="117"/>
      </w:r>
      <w:r>
        <w:rPr>
          <w:rFonts w:ascii="Book Antiqua" w:hAnsi="Book Antiqua" w:cs="Book Antiqua"/>
          <w:color w:val="000000"/>
          <w:sz w:val="20"/>
          <w:szCs w:val="20"/>
        </w:rPr>
        <w:t xml:space="preserve"> La délivrance de cette attestation est de la compétence du conseil de classe. L’épreuve de qualification n’est pas organisée au terme de la 7</w:t>
      </w:r>
      <w:r>
        <w:rPr>
          <w:rFonts w:ascii="Book Antiqua" w:hAnsi="Book Antiqua" w:cs="Book Antiqua"/>
          <w:color w:val="000000"/>
          <w:sz w:val="20"/>
          <w:szCs w:val="20"/>
          <w:vertAlign w:val="superscript"/>
        </w:rPr>
        <w:t>ème</w:t>
      </w:r>
      <w:r>
        <w:rPr>
          <w:rFonts w:ascii="Book Antiqua" w:hAnsi="Book Antiqua" w:cs="Book Antiqua"/>
          <w:color w:val="000000"/>
          <w:sz w:val="20"/>
          <w:szCs w:val="20"/>
        </w:rPr>
        <w:t xml:space="preserve"> année complémentaire.</w:t>
      </w:r>
    </w:p>
    <w:p>
      <w:pPr>
        <w:pStyle w:val="Retraitcorpsdetexte21"/>
        <w:spacing w:before="0"/>
        <w:ind w:left="1418"/>
        <w:rPr>
          <w:rFonts w:ascii="Book Antiqua" w:hAnsi="Book Antiqua" w:cs="Book Antiqua"/>
          <w:color w:val="000000"/>
          <w:sz w:val="20"/>
          <w:szCs w:val="20"/>
        </w:rPr>
      </w:pPr>
    </w:p>
    <w:p>
      <w:pPr>
        <w:spacing w:after="120"/>
        <w:ind w:left="1418"/>
        <w:jc w:val="both"/>
        <w:rPr>
          <w:rFonts w:ascii="Book Antiqua" w:hAnsi="Book Antiqua" w:cs="Book Antiqua"/>
        </w:rPr>
      </w:pPr>
      <w:r>
        <w:rPr>
          <w:rFonts w:ascii="Book Antiqua" w:hAnsi="Book Antiqua" w:cs="Book Antiqua"/>
          <w:color w:val="000000"/>
        </w:rPr>
        <w:t xml:space="preserve">Une </w:t>
      </w:r>
      <w:r>
        <w:rPr>
          <w:rFonts w:ascii="Book Antiqua" w:hAnsi="Book Antiqua" w:cs="Book Antiqua"/>
          <w:b/>
          <w:color w:val="000000"/>
        </w:rPr>
        <w:t>attestation de compétences intermédiaires</w:t>
      </w:r>
      <w:r>
        <w:rPr>
          <w:rFonts w:ascii="Book Antiqua" w:hAnsi="Book Antiqua" w:cs="Book Antiqua"/>
          <w:color w:val="000000"/>
        </w:rPr>
        <w:t xml:space="preserve"> est délivrée à la demande de l’élève majeur ou des parents de l’élève mineur qui a quitté, en cours d’année scolaire, l’enseignement technique de qualification ou professionnel sans avoir terminé la 5</w:t>
      </w:r>
      <w:r>
        <w:rPr>
          <w:rFonts w:ascii="Book Antiqua" w:hAnsi="Book Antiqua" w:cs="Book Antiqua"/>
          <w:color w:val="000000"/>
          <w:vertAlign w:val="superscript"/>
        </w:rPr>
        <w:t>ème</w:t>
      </w:r>
      <w:r>
        <w:rPr>
          <w:rFonts w:ascii="Book Antiqua" w:hAnsi="Book Antiqua" w:cs="Book Antiqua"/>
          <w:color w:val="000000"/>
        </w:rPr>
        <w:t xml:space="preserve"> ou la 6</w:t>
      </w:r>
      <w:r>
        <w:rPr>
          <w:rFonts w:ascii="Book Antiqua" w:hAnsi="Book Antiqua" w:cs="Book Antiqua"/>
          <w:color w:val="000000"/>
          <w:vertAlign w:val="superscript"/>
        </w:rPr>
        <w:t>ème</w:t>
      </w:r>
      <w:r>
        <w:rPr>
          <w:rFonts w:ascii="Book Antiqua" w:hAnsi="Book Antiqua" w:cs="Book Antiqua"/>
          <w:color w:val="000000"/>
        </w:rPr>
        <w:t xml:space="preserve"> année</w:t>
      </w:r>
      <w:r>
        <w:rPr>
          <w:rFonts w:ascii="Book Antiqua" w:hAnsi="Book Antiqua" w:cs="Book Antiqua"/>
        </w:rPr>
        <w:t>,</w:t>
      </w:r>
      <w:r>
        <w:rPr>
          <w:rFonts w:ascii="Verdana" w:hAnsi="Verdana" w:cs="CenturySchoolbook-Bold"/>
          <w:bCs/>
          <w:sz w:val="22"/>
          <w:szCs w:val="22"/>
          <w:lang w:eastAsia="en-US"/>
        </w:rPr>
        <w:t xml:space="preserve"> </w:t>
      </w:r>
      <w:r>
        <w:rPr>
          <w:rFonts w:ascii="Book Antiqua" w:hAnsi="Book Antiqua" w:cs="CenturySchoolbook-Bold"/>
          <w:bCs/>
          <w:lang w:eastAsia="en-US"/>
        </w:rPr>
        <w:t>à l'exception des élèves qui reçoivent le rapport de compétences CPU</w:t>
      </w:r>
      <w:r>
        <w:rPr>
          <w:rFonts w:ascii="Book Antiqua" w:hAnsi="Book Antiqua" w:cs="Book Antiqua"/>
        </w:rPr>
        <w:t xml:space="preserve">. </w:t>
      </w:r>
      <w:r>
        <w:rPr>
          <w:rStyle w:val="Caractresdenotedebasdepage"/>
          <w:rFonts w:ascii="Book Antiqua" w:hAnsi="Book Antiqua" w:cs="Book Antiqua"/>
        </w:rPr>
        <w:footnoteReference w:id="118"/>
      </w:r>
    </w:p>
    <w:p>
      <w:pPr>
        <w:spacing w:after="120"/>
        <w:ind w:left="1418"/>
        <w:jc w:val="both"/>
        <w:rPr>
          <w:rFonts w:ascii="Book Antiqua" w:hAnsi="Book Antiqua" w:cs="Book Antiqua"/>
        </w:rPr>
      </w:pPr>
      <w:r>
        <w:rPr>
          <w:rFonts w:ascii="Book Antiqua" w:hAnsi="Book Antiqua" w:cs="Book Antiqua"/>
          <w:color w:val="000000"/>
        </w:rPr>
        <w:t xml:space="preserve">L’attestation, délivrée par le Conseil de classe, précise, pour chaque élève, les compétences acquises. Elle est rédigée en fonction </w:t>
      </w:r>
      <w:r>
        <w:rPr>
          <w:rFonts w:ascii="Book Antiqua" w:hAnsi="Book Antiqua" w:cs="Book Antiqua"/>
        </w:rPr>
        <w:t xml:space="preserve">des profils de formation lorsque ceux-ci ont été définis. </w:t>
      </w:r>
      <w:r>
        <w:rPr>
          <w:rStyle w:val="Caractresdenotedebasdepage"/>
          <w:rFonts w:ascii="Book Antiqua" w:hAnsi="Book Antiqua" w:cs="Book Antiqua"/>
        </w:rPr>
        <w:footnoteReference w:id="119"/>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fréquentation partielle en tant qu’élève régulier</w:t>
      </w:r>
      <w:r>
        <w:rPr>
          <w:rFonts w:ascii="Book Antiqua" w:hAnsi="Book Antiqua" w:cs="Book Antiqua"/>
          <w:color w:val="000000"/>
        </w:rPr>
        <w:t xml:space="preserve"> est délivrée aux élèves réguliers de l’enseignement en alternance « article 49 » lorsqu’ils changent d’établissement.</w:t>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 xml:space="preserve">attestation de compétences professionnelles du deuxième degré professionnel de l’enseignement secondaire en alternance </w:t>
      </w:r>
      <w:r>
        <w:rPr>
          <w:rFonts w:ascii="Book Antiqua" w:hAnsi="Book Antiqua" w:cs="Book Antiqua"/>
          <w:color w:val="000000"/>
        </w:rPr>
        <w:t xml:space="preserve">est délivrée, sur proposition motivée du Coordonnateur et sur autorisation du Conseil de direction, à un élève qui, sans avoir suivi les années d’études prévues, apporte la preuve d’un parcours de formation analogue. </w:t>
      </w:r>
      <w:r>
        <w:rPr>
          <w:rStyle w:val="Caractresdenotedebasdepage"/>
          <w:rFonts w:ascii="Book Antiqua" w:hAnsi="Book Antiqua" w:cs="Book Antiqua"/>
          <w:color w:val="000000"/>
        </w:rPr>
        <w:footnoteReference w:id="120"/>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compétences professionnelles</w:t>
      </w:r>
      <w:r>
        <w:rPr>
          <w:rFonts w:ascii="Book Antiqua" w:hAnsi="Book Antiqua" w:cs="Book Antiqua"/>
          <w:color w:val="000000"/>
        </w:rPr>
        <w:t xml:space="preserve"> du 2</w:t>
      </w:r>
      <w:r>
        <w:rPr>
          <w:rFonts w:ascii="Book Antiqua" w:hAnsi="Book Antiqua" w:cs="Book Antiqua"/>
          <w:color w:val="000000"/>
          <w:vertAlign w:val="superscript"/>
        </w:rPr>
        <w:t>ème</w:t>
      </w:r>
      <w:r>
        <w:rPr>
          <w:rFonts w:ascii="Book Antiqua" w:hAnsi="Book Antiqua" w:cs="Book Antiqua"/>
          <w:color w:val="000000"/>
        </w:rPr>
        <w:t xml:space="preserve"> degré professionnel de l’enseignement secondaire en alternance peut aussi être délivrée à un élève qui a changé d’orientation d’études lorsque ce changement n’a pas empêché l’élève d’acquérir un niveau suffisant de compétences. </w:t>
      </w:r>
      <w:r>
        <w:rPr>
          <w:rStyle w:val="Caractresdenotedebasdepage"/>
          <w:rFonts w:ascii="Book Antiqua" w:hAnsi="Book Antiqua" w:cs="Book Antiqua"/>
          <w:color w:val="000000"/>
        </w:rPr>
        <w:footnoteReference w:id="121"/>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réinsertion dans l’enseignement secondaire ordinaire ou dans l’enseignement spécialisé</w:t>
      </w:r>
      <w:r>
        <w:rPr>
          <w:rFonts w:ascii="Book Antiqua" w:hAnsi="Book Antiqua" w:cs="Book Antiqua"/>
          <w:color w:val="000000"/>
        </w:rPr>
        <w:t xml:space="preserve"> </w:t>
      </w:r>
      <w:r>
        <w:rPr>
          <w:rFonts w:ascii="Book Antiqua" w:hAnsi="Book Antiqua" w:cs="Book Antiqua"/>
          <w:b/>
          <w:color w:val="000000"/>
        </w:rPr>
        <w:t>de plein exercice</w:t>
      </w:r>
      <w:r>
        <w:rPr>
          <w:rFonts w:ascii="Book Antiqua" w:hAnsi="Book Antiqua" w:cs="Book Antiqua"/>
          <w:color w:val="000000"/>
        </w:rPr>
        <w:t xml:space="preserve"> peut être délivrée à l’élève qui a suivi les cours pendant une année scolaire au moins dans l’enseignement en alternance (</w:t>
      </w:r>
      <w:r>
        <w:rPr>
          <w:rFonts w:ascii="Book Antiqua" w:hAnsi="Book Antiqua" w:cs="Book Antiqua"/>
        </w:rPr>
        <w:t>formation article 49) et</w:t>
      </w:r>
      <w:r>
        <w:rPr>
          <w:rFonts w:ascii="Book Antiqua" w:hAnsi="Book Antiqua" w:cs="Book Antiqua"/>
          <w:color w:val="000000"/>
        </w:rPr>
        <w:t xml:space="preserve"> lui permet de poursuivre ses études soit en 4</w:t>
      </w:r>
      <w:r>
        <w:rPr>
          <w:rFonts w:ascii="Book Antiqua" w:hAnsi="Book Antiqua" w:cs="Book Antiqua"/>
          <w:color w:val="000000"/>
          <w:vertAlign w:val="superscript"/>
        </w:rPr>
        <w:t>ème</w:t>
      </w:r>
      <w:r>
        <w:rPr>
          <w:rFonts w:ascii="Book Antiqua" w:hAnsi="Book Antiqua" w:cs="Book Antiqua"/>
          <w:color w:val="000000"/>
        </w:rPr>
        <w:t xml:space="preserve"> année, soit en 5</w:t>
      </w:r>
      <w:r>
        <w:rPr>
          <w:rFonts w:ascii="Book Antiqua" w:hAnsi="Book Antiqua" w:cs="Book Antiqua"/>
          <w:color w:val="000000"/>
          <w:vertAlign w:val="superscript"/>
        </w:rPr>
        <w:t>ème</w:t>
      </w:r>
      <w:r>
        <w:rPr>
          <w:rFonts w:ascii="Book Antiqua" w:hAnsi="Book Antiqua" w:cs="Book Antiqua"/>
          <w:color w:val="000000"/>
        </w:rPr>
        <w:t xml:space="preserve"> année de l’enseignement professionnel, dans le respect des conditions d’admission. </w:t>
      </w:r>
      <w:r>
        <w:rPr>
          <w:rStyle w:val="Caractresdenotedebasdepage"/>
          <w:rFonts w:ascii="Book Antiqua" w:hAnsi="Book Antiqua" w:cs="Book Antiqua"/>
          <w:color w:val="000000"/>
        </w:rPr>
        <w:footnoteReference w:id="122"/>
      </w:r>
    </w:p>
    <w:p>
      <w:pPr>
        <w:pStyle w:val="Titre10"/>
        <w:tabs>
          <w:tab w:val="left" w:pos="993"/>
        </w:tabs>
        <w:ind w:left="1418"/>
        <w:jc w:val="both"/>
      </w:pPr>
      <w:r>
        <w:rPr>
          <w:rFonts w:ascii="Book Antiqua" w:hAnsi="Book Antiqua" w:cs="Book Antiqua"/>
          <w:b w:val="0"/>
          <w:color w:val="000000"/>
          <w:sz w:val="20"/>
          <w:szCs w:val="20"/>
        </w:rPr>
        <w:lastRenderedPageBreak/>
        <w:t>Une</w:t>
      </w:r>
      <w:r>
        <w:rPr>
          <w:rFonts w:ascii="Book Antiqua" w:hAnsi="Book Antiqua" w:cs="Book Antiqua"/>
          <w:color w:val="000000"/>
          <w:sz w:val="20"/>
          <w:szCs w:val="20"/>
        </w:rPr>
        <w:t xml:space="preserve"> attestation de fréquentation</w:t>
      </w:r>
      <w:r>
        <w:rPr>
          <w:rFonts w:ascii="Book Antiqua" w:hAnsi="Book Antiqua" w:cs="Book Antiqua"/>
          <w:b w:val="0"/>
          <w:color w:val="000000"/>
          <w:sz w:val="20"/>
          <w:szCs w:val="20"/>
        </w:rPr>
        <w:t xml:space="preserve"> est délivrée à l’élève qui n’obtient aucun des certificats et attestations visés ci-dessus. </w:t>
      </w:r>
      <w:r>
        <w:rPr>
          <w:rStyle w:val="Caractresdenotedebasdepage"/>
          <w:rFonts w:ascii="Book Antiqua" w:hAnsi="Book Antiqua" w:cs="Book Antiqua"/>
          <w:color w:val="000000"/>
          <w:sz w:val="20"/>
          <w:szCs w:val="20"/>
        </w:rPr>
        <w:footnoteReference w:id="123"/>
      </w:r>
    </w:p>
    <w:p>
      <w:pPr>
        <w:pStyle w:val="niveau4"/>
        <w:ind w:left="709"/>
      </w:pPr>
      <w:bookmarkStart w:id="47" w:name="_Toc522700772"/>
      <w:r>
        <w:t>2. Le certificat relatif aux connaissances de gestion de base</w:t>
      </w:r>
      <w:bookmarkEnd w:id="47"/>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Un </w:t>
      </w:r>
      <w:r>
        <w:rPr>
          <w:rFonts w:ascii="Book Antiqua" w:hAnsi="Book Antiqua" w:cs="Book Antiqua"/>
          <w:color w:val="000000"/>
          <w:sz w:val="20"/>
          <w:szCs w:val="20"/>
        </w:rPr>
        <w:t>certificat relatif aux connaissances de gestion de base</w:t>
      </w:r>
      <w:r>
        <w:rPr>
          <w:rFonts w:ascii="Book Antiqua" w:hAnsi="Book Antiqua" w:cs="Book Antiqua"/>
          <w:b w:val="0"/>
          <w:color w:val="000000"/>
          <w:sz w:val="20"/>
          <w:szCs w:val="20"/>
        </w:rPr>
        <w:t xml:space="preserve"> est délivré aux élèves qui ont satisfait aux exigences du programme prévu à l’article 6 de l’arrêté royal du 21 octobre 1998 tel que modifié portant exécution du chapitre Ier du titre II de la loi-programme du 10 février 1998 pour la promotion de l’entreprise indépendante tel qu’il a été modifié par l’arrêté royal du 7 juin 2007.</w:t>
      </w:r>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La délivrance du certificat est de la compétence du conseil de classe.</w:t>
      </w:r>
    </w:p>
    <w:p>
      <w:pPr>
        <w:pStyle w:val="niveau3"/>
        <w:pageBreakBefore/>
        <w:ind w:left="709"/>
      </w:pPr>
      <w:bookmarkStart w:id="48" w:name="_Toc522700773"/>
      <w:r>
        <w:lastRenderedPageBreak/>
        <w:t xml:space="preserve">iii. </w:t>
      </w:r>
      <w:r>
        <w:rPr>
          <w:u w:val="single"/>
        </w:rPr>
        <w:t>Formations relevant de l’application de l’article 45 du décret « Missions »</w:t>
      </w:r>
      <w:bookmarkEnd w:id="48"/>
      <w:r>
        <w:t xml:space="preserve"> </w:t>
      </w:r>
    </w:p>
    <w:p>
      <w:pPr>
        <w:pStyle w:val="niveau4"/>
        <w:ind w:left="709"/>
      </w:pPr>
      <w:bookmarkStart w:id="49" w:name="_Toc522700774"/>
      <w:r>
        <w:t>1. La certification</w:t>
      </w:r>
      <w:bookmarkEnd w:id="49"/>
      <w:r>
        <w:t xml:space="preserve"> </w:t>
      </w:r>
    </w:p>
    <w:p>
      <w:pPr>
        <w:spacing w:after="120"/>
        <w:ind w:left="1418"/>
        <w:jc w:val="both"/>
        <w:rPr>
          <w:rFonts w:ascii="Book Antiqua" w:hAnsi="Book Antiqua" w:cs="Book Antiqua"/>
          <w:color w:val="000000"/>
        </w:rPr>
      </w:pPr>
      <w:r>
        <w:rPr>
          <w:rFonts w:ascii="Book Antiqua" w:hAnsi="Book Antiqua" w:cs="Book Antiqua"/>
          <w:color w:val="000000"/>
        </w:rPr>
        <w:t xml:space="preserve">Un </w:t>
      </w:r>
      <w:r>
        <w:rPr>
          <w:rFonts w:ascii="Book Antiqua" w:hAnsi="Book Antiqua" w:cs="Book Antiqua"/>
          <w:b/>
          <w:color w:val="000000"/>
        </w:rPr>
        <w:t xml:space="preserve">certificat de qualification </w:t>
      </w:r>
      <w:r>
        <w:rPr>
          <w:rFonts w:ascii="Book Antiqua" w:hAnsi="Book Antiqua" w:cs="Book Antiqua"/>
          <w:color w:val="000000"/>
        </w:rPr>
        <w:t xml:space="preserve">est délivré à l’élève régulier qui a suivi les cours de l’enseignement en alternance « article 45 » et </w:t>
      </w:r>
      <w:r>
        <w:rPr>
          <w:rFonts w:ascii="Book Antiqua" w:hAnsi="Book Antiqua" w:cs="Book Antiqua"/>
        </w:rPr>
        <w:t>a atteint les compétences fixées par le profil de qualification</w:t>
      </w:r>
      <w:r>
        <w:rPr>
          <w:rStyle w:val="Appelnotedebasdep"/>
          <w:rFonts w:ascii="Book Antiqua" w:hAnsi="Book Antiqua" w:cs="CenturySchoolbook-Bold"/>
          <w:bCs/>
          <w:lang w:eastAsia="en-US"/>
        </w:rPr>
        <w:footnoteReference w:id="124"/>
      </w:r>
      <w:r>
        <w:rPr>
          <w:rFonts w:ascii="Book Antiqua" w:hAnsi="Book Antiqua" w:cs="Book Antiqua"/>
        </w:rPr>
        <w:t>.</w:t>
      </w:r>
      <w:r>
        <w:rPr>
          <w:rFonts w:ascii="Book Antiqua" w:hAnsi="Book Antiqua" w:cs="Book Antiqua"/>
          <w:color w:val="000000"/>
        </w:rPr>
        <w:t xml:space="preserve"> Le coordonnateur et l’accompagnateur sont associés avec voix délibérative aux délibérations du jury de qualification. </w:t>
      </w:r>
    </w:p>
    <w:p>
      <w:pPr>
        <w:ind w:left="1418"/>
        <w:jc w:val="both"/>
        <w:rPr>
          <w:rFonts w:ascii="Book Antiqua" w:hAnsi="Book Antiqua"/>
        </w:rPr>
      </w:pPr>
      <w:r>
        <w:rPr>
          <w:rFonts w:ascii="Book Antiqua" w:hAnsi="Book Antiqua"/>
        </w:rPr>
        <w:t>La délivrance du certificat de qualification s'effectue de façon identique à celle du certificat de qualification de l'enseignement secondaire en alternance « Article 49 », selon le schéma de passation approuvé par le Gouvernement, sur proposition des Pouvoirs organisateurs ou de leurs organes de représentation et de coordination.</w:t>
      </w:r>
    </w:p>
    <w:p>
      <w:pPr>
        <w:ind w:left="1418"/>
        <w:jc w:val="both"/>
        <w:rPr>
          <w:rFonts w:ascii="Book Antiqua" w:hAnsi="Book Antiqua"/>
        </w:rPr>
      </w:pPr>
    </w:p>
    <w:p>
      <w:pPr>
        <w:jc w:val="both"/>
        <w:rPr>
          <w:lang w:val="fr-BE"/>
        </w:rPr>
      </w:pPr>
      <w:r>
        <w:rPr>
          <w:rFonts w:ascii="Book Antiqua" w:hAnsi="Book Antiqua" w:cs="Book Antiqua"/>
          <w:b/>
          <w:color w:val="000000"/>
        </w:rPr>
        <w:t>Le  CEB est attribué par le conseil de classe aux élèves qui ont obtenu le certificat de qualification.</w:t>
      </w:r>
    </w:p>
    <w:p>
      <w:pPr>
        <w:ind w:left="1418"/>
      </w:pP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compétences professionnelles du deuxième degré professionnel de l’enseignement secondaire en alternance</w:t>
      </w:r>
      <w:r>
        <w:rPr>
          <w:rFonts w:ascii="Book Antiqua" w:hAnsi="Book Antiqua" w:cs="Book Antiqua"/>
          <w:color w:val="000000"/>
        </w:rPr>
        <w:t xml:space="preserve"> est délivrée à l’élève qui a suivi effectivement et assidûment pendant au moins 2 années scolaires soit :</w:t>
      </w:r>
    </w:p>
    <w:p>
      <w:pPr>
        <w:numPr>
          <w:ilvl w:val="0"/>
          <w:numId w:val="8"/>
        </w:numPr>
        <w:tabs>
          <w:tab w:val="num" w:pos="1069"/>
        </w:tabs>
        <w:ind w:left="1843" w:hanging="425"/>
        <w:jc w:val="both"/>
        <w:rPr>
          <w:rFonts w:ascii="Book Antiqua" w:hAnsi="Book Antiqua" w:cs="Book Antiqua"/>
          <w:color w:val="000000"/>
        </w:rPr>
      </w:pPr>
      <w:r>
        <w:rPr>
          <w:rFonts w:ascii="Book Antiqua" w:hAnsi="Book Antiqua" w:cs="Book Antiqua"/>
          <w:color w:val="000000"/>
        </w:rPr>
        <w:t>les cours de l’enseignement secondaire en alternance « article 45 » dans une même orientation d’études ;</w:t>
      </w:r>
    </w:p>
    <w:p>
      <w:pPr>
        <w:numPr>
          <w:ilvl w:val="0"/>
          <w:numId w:val="8"/>
        </w:numPr>
        <w:tabs>
          <w:tab w:val="num" w:pos="1069"/>
        </w:tabs>
        <w:spacing w:after="240"/>
        <w:ind w:left="1843" w:hanging="425"/>
        <w:jc w:val="both"/>
        <w:rPr>
          <w:rFonts w:ascii="Book Antiqua" w:hAnsi="Book Antiqua" w:cs="Book Antiqua"/>
          <w:color w:val="000000"/>
        </w:rPr>
      </w:pPr>
      <w:r>
        <w:rPr>
          <w:rFonts w:ascii="Book Antiqua" w:hAnsi="Book Antiqua" w:cs="Book Antiqua"/>
          <w:color w:val="000000"/>
        </w:rPr>
        <w:t xml:space="preserve">les cours de la troisième année d’enseignement secondaire de plein exercice et les cours d’une année d’enseignement en alternance « article 45 » dans une même orientation d’études. </w:t>
      </w:r>
      <w:r>
        <w:rPr>
          <w:rStyle w:val="Caractresdenotedebasdepage"/>
          <w:rFonts w:ascii="Book Antiqua" w:hAnsi="Book Antiqua" w:cs="Book Antiqua"/>
          <w:color w:val="000000"/>
        </w:rPr>
        <w:footnoteReference w:id="125"/>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 xml:space="preserve">attestation de compétences professionnelles du deuxième degré professionnel de l’enseignement secondaire en alternance </w:t>
      </w:r>
      <w:r>
        <w:rPr>
          <w:rFonts w:ascii="Book Antiqua" w:hAnsi="Book Antiqua" w:cs="Book Antiqua"/>
          <w:color w:val="000000"/>
        </w:rPr>
        <w:t xml:space="preserve">est délivrée, sur proposition motivée du Coordonnateur et sur autorisation du Conseil de direction, à un élève qui, sans avoir suivi les années d’études prévues, apporte la preuve d’un parcours de formation analogue. </w:t>
      </w:r>
      <w:r>
        <w:rPr>
          <w:rStyle w:val="Caractresdenotedebasdepage"/>
          <w:rFonts w:ascii="Book Antiqua" w:hAnsi="Book Antiqua" w:cs="Book Antiqua"/>
          <w:color w:val="000000"/>
        </w:rPr>
        <w:footnoteReference w:id="126"/>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compétences professionnelles</w:t>
      </w:r>
      <w:r>
        <w:rPr>
          <w:rFonts w:ascii="Book Antiqua" w:hAnsi="Book Antiqua" w:cs="Book Antiqua"/>
          <w:color w:val="000000"/>
        </w:rPr>
        <w:t xml:space="preserve"> </w:t>
      </w:r>
      <w:r>
        <w:rPr>
          <w:rFonts w:ascii="Book Antiqua" w:hAnsi="Book Antiqua" w:cs="Book Antiqua"/>
          <w:b/>
          <w:bCs/>
          <w:color w:val="000000"/>
        </w:rPr>
        <w:t>du deuxième degré professionnel de l’enseignement secondaire en alternance</w:t>
      </w:r>
      <w:r>
        <w:rPr>
          <w:rFonts w:ascii="Book Antiqua" w:hAnsi="Book Antiqua" w:cs="Book Antiqua"/>
          <w:color w:val="000000"/>
        </w:rPr>
        <w:t xml:space="preserve"> peut aussi être délivrée à un élève qui a changé d’orientation d’études lorsque ce changement n’a pas empêché l’élève d’acquérir un niveau suffisant de compétences. </w:t>
      </w:r>
      <w:r>
        <w:rPr>
          <w:rStyle w:val="Caractresdenotedebasdepage"/>
          <w:rFonts w:ascii="Book Antiqua" w:hAnsi="Book Antiqua" w:cs="Book Antiqua"/>
          <w:color w:val="000000"/>
        </w:rPr>
        <w:footnoteReference w:id="127"/>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réinsertion dans l’enseignement secondaire ordinaire ou dans l’enseignement spécialisé</w:t>
      </w:r>
      <w:r>
        <w:rPr>
          <w:rFonts w:ascii="Book Antiqua" w:hAnsi="Book Antiqua" w:cs="Book Antiqua"/>
          <w:color w:val="000000"/>
        </w:rPr>
        <w:t xml:space="preserve"> </w:t>
      </w:r>
      <w:r>
        <w:rPr>
          <w:rFonts w:ascii="Book Antiqua" w:hAnsi="Book Antiqua" w:cs="Book Antiqua"/>
          <w:b/>
          <w:color w:val="000000"/>
        </w:rPr>
        <w:t>de plein exercice</w:t>
      </w:r>
      <w:r>
        <w:rPr>
          <w:rFonts w:ascii="Book Antiqua" w:hAnsi="Book Antiqua" w:cs="Book Antiqua"/>
          <w:color w:val="000000"/>
        </w:rPr>
        <w:t xml:space="preserve"> peut être délivrée à l’élève qui a suivi les cours pendant une année scolaire au moins et qui est jugé apte à poursuivre ses études soit en 4</w:t>
      </w:r>
      <w:r>
        <w:rPr>
          <w:rFonts w:ascii="Book Antiqua" w:hAnsi="Book Antiqua" w:cs="Book Antiqua"/>
          <w:color w:val="000000"/>
          <w:vertAlign w:val="superscript"/>
        </w:rPr>
        <w:t>ème</w:t>
      </w:r>
      <w:r>
        <w:rPr>
          <w:rFonts w:ascii="Book Antiqua" w:hAnsi="Book Antiqua" w:cs="Book Antiqua"/>
          <w:color w:val="000000"/>
        </w:rPr>
        <w:t xml:space="preserve"> année, soit en 5</w:t>
      </w:r>
      <w:r>
        <w:rPr>
          <w:rFonts w:ascii="Book Antiqua" w:hAnsi="Book Antiqua" w:cs="Book Antiqua"/>
          <w:color w:val="000000"/>
          <w:vertAlign w:val="superscript"/>
        </w:rPr>
        <w:t>ème</w:t>
      </w:r>
      <w:r>
        <w:rPr>
          <w:rFonts w:ascii="Book Antiqua" w:hAnsi="Book Antiqua" w:cs="Book Antiqua"/>
          <w:color w:val="000000"/>
        </w:rPr>
        <w:t xml:space="preserve"> année de l’enseignement professionnel. </w:t>
      </w:r>
      <w:r>
        <w:rPr>
          <w:rStyle w:val="Caractresdenotedebasdepage"/>
          <w:rFonts w:ascii="Book Antiqua" w:hAnsi="Book Antiqua" w:cs="Book Antiqua"/>
          <w:color w:val="000000"/>
        </w:rPr>
        <w:footnoteReference w:id="128"/>
      </w:r>
    </w:p>
    <w:p>
      <w:pPr>
        <w:pStyle w:val="Titre10"/>
        <w:tabs>
          <w:tab w:val="left" w:pos="1134"/>
        </w:tabs>
        <w:spacing w:after="240"/>
        <w:ind w:left="1418"/>
        <w:jc w:val="both"/>
      </w:pPr>
      <w:r>
        <w:rPr>
          <w:rFonts w:ascii="Book Antiqua" w:hAnsi="Book Antiqua" w:cs="Book Antiqua"/>
          <w:b w:val="0"/>
          <w:color w:val="000000"/>
          <w:sz w:val="20"/>
          <w:szCs w:val="20"/>
        </w:rPr>
        <w:t xml:space="preserve">Une </w:t>
      </w:r>
      <w:r>
        <w:rPr>
          <w:rFonts w:ascii="Book Antiqua" w:hAnsi="Book Antiqua" w:cs="Book Antiqua"/>
          <w:color w:val="000000"/>
          <w:sz w:val="20"/>
          <w:szCs w:val="20"/>
        </w:rPr>
        <w:t>attestation de fréquentation</w:t>
      </w:r>
      <w:r>
        <w:rPr>
          <w:rFonts w:ascii="Book Antiqua" w:hAnsi="Book Antiqua" w:cs="Book Antiqua"/>
          <w:b w:val="0"/>
          <w:color w:val="000000"/>
          <w:sz w:val="20"/>
          <w:szCs w:val="20"/>
        </w:rPr>
        <w:t xml:space="preserve"> est délivrée à l’élève qui n’obtient aucun des certificats et attestations visés ci-dessus. </w:t>
      </w:r>
      <w:r>
        <w:rPr>
          <w:rStyle w:val="Caractresdenotedebasdepage"/>
          <w:rFonts w:ascii="Book Antiqua" w:hAnsi="Book Antiqua" w:cs="Book Antiqua"/>
          <w:color w:val="000000"/>
          <w:sz w:val="20"/>
          <w:szCs w:val="20"/>
        </w:rPr>
        <w:footnoteReference w:id="129"/>
      </w:r>
    </w:p>
    <w:p>
      <w:pPr>
        <w:pStyle w:val="niveau4"/>
        <w:ind w:left="709"/>
        <w:rPr>
          <w:rFonts w:cs="Book Antiqua"/>
          <w:color w:val="000000"/>
        </w:rPr>
      </w:pPr>
      <w:bookmarkStart w:id="50" w:name="_Toc522700775"/>
      <w:r>
        <w:t>2. Le certificat relatif aux connaissances de gestion de base</w:t>
      </w:r>
      <w:r>
        <w:rPr>
          <w:u w:val="none"/>
        </w:rPr>
        <w:t xml:space="preserve"> </w:t>
      </w:r>
      <w:r>
        <w:rPr>
          <w:rStyle w:val="Caractresdenotedebasdepage"/>
          <w:color w:val="000000"/>
          <w:u w:val="none"/>
        </w:rPr>
        <w:footnoteReference w:id="130"/>
      </w:r>
      <w:bookmarkEnd w:id="50"/>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Un </w:t>
      </w:r>
      <w:r>
        <w:rPr>
          <w:rFonts w:ascii="Book Antiqua" w:hAnsi="Book Antiqua" w:cs="Book Antiqua"/>
          <w:color w:val="000000"/>
          <w:sz w:val="20"/>
          <w:szCs w:val="20"/>
        </w:rPr>
        <w:t>certificat relatif aux connaissances de gestion de base</w:t>
      </w:r>
      <w:r>
        <w:rPr>
          <w:rFonts w:ascii="Book Antiqua" w:hAnsi="Book Antiqua" w:cs="Book Antiqua"/>
          <w:b w:val="0"/>
          <w:color w:val="000000"/>
          <w:sz w:val="20"/>
          <w:szCs w:val="20"/>
        </w:rPr>
        <w:t xml:space="preserve"> est délivré aux élèves qui ont satisfait aux exigences du programme prévu à l’article 6 de l’arrêté royal du 21 octobre 1998 </w:t>
      </w:r>
      <w:r>
        <w:rPr>
          <w:rFonts w:ascii="Book Antiqua" w:hAnsi="Book Antiqua" w:cs="Book Antiqua"/>
          <w:b w:val="0"/>
          <w:color w:val="000000"/>
          <w:sz w:val="20"/>
          <w:szCs w:val="20"/>
        </w:rPr>
        <w:lastRenderedPageBreak/>
        <w:t>portant exécution du chapitre Ier du titre II de la loi-programme du 10 février 1998 pour la promotion de l’entreprise indépendante tel qu’il a été modifié par l’arrêté royal du 7 juin 2007.</w:t>
      </w:r>
    </w:p>
    <w:p>
      <w:pPr>
        <w:pStyle w:val="Titre10"/>
        <w:spacing w:after="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La délivrance du certificat est de la compétence du conseil de classe.</w:t>
      </w:r>
    </w:p>
    <w:p>
      <w:pPr>
        <w:pStyle w:val="Corpsdetexte"/>
      </w:pPr>
    </w:p>
    <w:p>
      <w:pPr>
        <w:pStyle w:val="Corpsdetexte"/>
      </w:pPr>
    </w:p>
    <w:p>
      <w:pPr>
        <w:pStyle w:val="Corpsdetexte"/>
      </w:pPr>
    </w:p>
    <w:p>
      <w:pPr>
        <w:pStyle w:val="Corpsdetexte"/>
      </w:pPr>
    </w:p>
    <w:p>
      <w:pPr>
        <w:pStyle w:val="Corpsdetexte"/>
      </w:pPr>
    </w:p>
    <w:p>
      <w:pPr>
        <w:pStyle w:val="niveau3"/>
        <w:pageBreakBefore/>
        <w:ind w:left="709"/>
        <w:rPr>
          <w:rStyle w:val="bookantica10Car"/>
          <w:b/>
          <w:color w:val="000000"/>
          <w:u w:val="single"/>
        </w:rPr>
      </w:pPr>
      <w:bookmarkStart w:id="51" w:name="_Toc522700776"/>
      <w:r>
        <w:lastRenderedPageBreak/>
        <w:t xml:space="preserve">IV. </w:t>
      </w:r>
      <w:r>
        <w:rPr>
          <w:u w:val="single"/>
        </w:rPr>
        <w:t>Formation relevant de l’article 2</w:t>
      </w:r>
      <w:r>
        <w:rPr>
          <w:i/>
          <w:u w:val="single"/>
        </w:rPr>
        <w:t>bis</w:t>
      </w:r>
      <w:r>
        <w:rPr>
          <w:u w:val="single"/>
        </w:rPr>
        <w:t xml:space="preserve">, § 2 </w:t>
      </w:r>
      <w:r>
        <w:rPr>
          <w:rStyle w:val="bookantica10Car"/>
          <w:b/>
          <w:color w:val="000000"/>
          <w:u w:val="single"/>
        </w:rPr>
        <w:t>(Formation « en urgence »)</w:t>
      </w:r>
      <w:bookmarkEnd w:id="51"/>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Une </w:t>
      </w:r>
      <w:r>
        <w:rPr>
          <w:rFonts w:ascii="Book Antiqua" w:hAnsi="Book Antiqua" w:cs="Book Antiqua"/>
          <w:color w:val="000000"/>
          <w:sz w:val="20"/>
          <w:szCs w:val="20"/>
        </w:rPr>
        <w:t>attestation de compétences professionnelles du deuxième degré de l’enseignement secondaire professionnel en alternance</w:t>
      </w:r>
      <w:r>
        <w:rPr>
          <w:rFonts w:ascii="Book Antiqua" w:hAnsi="Book Antiqua" w:cs="Book Antiqua"/>
          <w:b w:val="0"/>
          <w:color w:val="000000"/>
          <w:sz w:val="20"/>
          <w:szCs w:val="20"/>
        </w:rPr>
        <w:t xml:space="preserve"> est délivrée aux élèves autorisés à suivre, en cas d’urgence, une formation qui ne correspond pas à un profil de certification spécifique visé à l’article 45 du décret « Missions ». Si cette formation est estimée utile par le SFMQ, elle pourra faire l’objet d’un profil de formation qui, lorsqu’il sera défini par le Gouvernement de la </w:t>
      </w:r>
      <w:r>
        <w:rPr>
          <w:rFonts w:ascii="Book Antiqua" w:hAnsi="Book Antiqua" w:cs="Book Antiqua"/>
          <w:b w:val="0"/>
          <w:color w:val="000000"/>
          <w:spacing w:val="-4"/>
          <w:sz w:val="20"/>
          <w:szCs w:val="20"/>
        </w:rPr>
        <w:t>Fédération Wallonie-Bruxelles</w:t>
      </w:r>
      <w:r>
        <w:rPr>
          <w:rFonts w:ascii="Book Antiqua" w:hAnsi="Book Antiqua" w:cs="Book Antiqua"/>
          <w:b w:val="0"/>
          <w:color w:val="000000"/>
          <w:sz w:val="20"/>
          <w:szCs w:val="20"/>
        </w:rPr>
        <w:t xml:space="preserve"> et sera organisé en tant que formation « article 45 », conduira à l’obtention d’un certificat de qualification.</w:t>
      </w:r>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Les formations organisées conformément aux dispositions relatives aux mesures urgentes sont sanctionnées par une attestation de compétences professionnelles du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 de l’enseignement professionnel.</w:t>
      </w:r>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Les élèves inscrits dans un CEFA conformément aux dispositions relatives aux mesures urgentes terminent leur formation et sont certifiés dans les conditions en vigueur au moment de leur inscription.</w:t>
      </w:r>
    </w:p>
    <w:p>
      <w:pPr>
        <w:pStyle w:val="niveau3"/>
        <w:ind w:left="709"/>
        <w:rPr>
          <w:u w:val="single"/>
        </w:rPr>
      </w:pPr>
      <w:bookmarkStart w:id="52" w:name="_Toc522700777"/>
      <w:r>
        <w:t xml:space="preserve">V. </w:t>
      </w:r>
      <w:r>
        <w:rPr>
          <w:u w:val="single"/>
        </w:rPr>
        <w:t>Enseignement secondaire spécialisé en alternance</w:t>
      </w:r>
      <w:bookmarkEnd w:id="52"/>
      <w:r>
        <w:rPr>
          <w:u w:val="single"/>
        </w:rPr>
        <w:t xml:space="preserve"> </w:t>
      </w:r>
    </w:p>
    <w:p>
      <w:pPr>
        <w:spacing w:after="240"/>
        <w:ind w:left="1418"/>
        <w:jc w:val="both"/>
        <w:rPr>
          <w:rFonts w:ascii="Book Antiqua" w:hAnsi="Book Antiqua" w:cs="Century Schoolbook"/>
          <w:color w:val="000000"/>
        </w:rPr>
      </w:pPr>
      <w:r>
        <w:rPr>
          <w:rFonts w:ascii="Book Antiqua" w:hAnsi="Book Antiqua" w:cs="Century Schoolbook"/>
          <w:color w:val="000000"/>
        </w:rPr>
        <w:t>Dans l’enseignement secondaire spécialisé en alternance, la composition et le fonctionnement du conseil de classe sont réglés par l’article 80 du décret du 3 mars 2004 organisant l’enseignement spécialisé</w:t>
      </w:r>
      <w:r>
        <w:rPr>
          <w:rStyle w:val="Caractresdenotedebasdepage"/>
          <w:rFonts w:ascii="Book Antiqua" w:hAnsi="Book Antiqua" w:cs="Century Schoolbook"/>
          <w:color w:val="000000"/>
        </w:rPr>
        <w:footnoteReference w:id="131"/>
      </w:r>
      <w:r>
        <w:rPr>
          <w:rFonts w:ascii="Book Antiqua" w:hAnsi="Book Antiqua" w:cs="Century Schoolbook"/>
          <w:color w:val="000000"/>
        </w:rPr>
        <w:t>.</w:t>
      </w:r>
    </w:p>
    <w:p>
      <w:pPr>
        <w:spacing w:after="240" w:line="240" w:lineRule="atLeast"/>
        <w:ind w:left="1418"/>
        <w:jc w:val="both"/>
        <w:rPr>
          <w:rFonts w:ascii="Book Antiqua" w:hAnsi="Book Antiqua" w:cs="Century Schoolbook"/>
        </w:rPr>
      </w:pPr>
      <w:r>
        <w:rPr>
          <w:rFonts w:ascii="Book Antiqua" w:hAnsi="Book Antiqua" w:cs="Century Schoolbook"/>
        </w:rPr>
        <w:t xml:space="preserve">La délivrance des certificats de qualification visés au présent article se fait de façon identique et de préférence commune avec celle des certificats de qualification de l'enseignement secondaire de plein exercice </w:t>
      </w:r>
      <w:r>
        <w:rPr>
          <w:rFonts w:ascii="Book Antiqua" w:hAnsi="Book Antiqua" w:cs="Century Schoolbook"/>
          <w:color w:val="000000"/>
        </w:rPr>
        <w:t>sauf que le coordonnateur et/ou un accompagnateur</w:t>
      </w:r>
      <w:r>
        <w:rPr>
          <w:rFonts w:ascii="Book Antiqua" w:hAnsi="Book Antiqua" w:cs="Century Schoolbook"/>
        </w:rPr>
        <w:t xml:space="preserve"> sont associés, avec voix délibérative, aux décisions et que les délibérations prennent en compte l'activité de formation en entreprise</w:t>
      </w:r>
      <w:r>
        <w:rPr>
          <w:rStyle w:val="Caractresdenotedebasdepage"/>
          <w:rFonts w:ascii="Book Antiqua" w:hAnsi="Book Antiqua" w:cs="Century Schoolbook"/>
        </w:rPr>
        <w:footnoteReference w:id="132"/>
      </w:r>
      <w:r>
        <w:rPr>
          <w:rFonts w:ascii="Book Antiqua" w:hAnsi="Book Antiqua" w:cs="Century Schoolbook"/>
        </w:rPr>
        <w:t>.</w:t>
      </w:r>
    </w:p>
    <w:p>
      <w:pPr>
        <w:pStyle w:val="niveau3"/>
        <w:ind w:left="709"/>
        <w:rPr>
          <w:u w:val="single"/>
        </w:rPr>
      </w:pPr>
      <w:bookmarkStart w:id="53" w:name="_Toc522700778"/>
      <w:r>
        <w:t xml:space="preserve">VI. </w:t>
      </w:r>
      <w:r>
        <w:rPr>
          <w:u w:val="single"/>
        </w:rPr>
        <w:t>Modèles des attestations et des certificats</w:t>
      </w:r>
      <w:bookmarkEnd w:id="53"/>
    </w:p>
    <w:p>
      <w:pPr>
        <w:tabs>
          <w:tab w:val="left" w:pos="-1440"/>
          <w:tab w:val="left" w:pos="-720"/>
          <w:tab w:val="left" w:pos="1418"/>
        </w:tabs>
        <w:spacing w:after="120"/>
        <w:ind w:left="1418"/>
        <w:jc w:val="both"/>
        <w:rPr>
          <w:rFonts w:ascii="Book Antiqua" w:hAnsi="Book Antiqua" w:cs="Book Antiqua"/>
          <w:bCs/>
          <w:color w:val="000000"/>
        </w:rPr>
      </w:pPr>
      <w:r>
        <w:rPr>
          <w:rFonts w:ascii="Book Antiqua" w:hAnsi="Book Antiqua" w:cs="Book Antiqua"/>
          <w:bCs/>
          <w:color w:val="000000"/>
        </w:rPr>
        <w:t>Les différents modèles des attestations et des certificats sanctionnant les études dans l’enseignement secondaire en alternance sont repris dans l’Arrêté du Gouvernement de la Communauté française du 11 mai 2016 fixant les modèles des attestations et certificats sanctionnant les études dans l’enseignement secondaire en alternance (voir également la circulaire 6244 du 21 juin 2017).</w:t>
      </w:r>
    </w:p>
    <w:p>
      <w:pPr>
        <w:tabs>
          <w:tab w:val="left" w:pos="-1440"/>
          <w:tab w:val="left" w:pos="-720"/>
          <w:tab w:val="left" w:pos="1418"/>
        </w:tabs>
        <w:spacing w:after="120"/>
        <w:ind w:left="1418"/>
        <w:jc w:val="both"/>
        <w:rPr>
          <w:rFonts w:ascii="Book Antiqua" w:hAnsi="Book Antiqua" w:cs="Book Antiqua"/>
          <w:bCs/>
          <w:color w:val="000000"/>
        </w:rPr>
      </w:pPr>
      <w:r>
        <w:rPr>
          <w:rFonts w:ascii="Book Antiqua" w:hAnsi="Book Antiqua" w:cs="Book Antiqua"/>
          <w:bCs/>
          <w:color w:val="000000"/>
        </w:rPr>
        <w:t xml:space="preserve">Le chef d’établissement est celui de l’établissement où le jeune suit la majorité de sa formation professionnelle. </w:t>
      </w:r>
    </w:p>
    <w:p>
      <w:pPr>
        <w:pStyle w:val="niveau3"/>
        <w:rPr>
          <w:u w:val="single"/>
        </w:rPr>
      </w:pPr>
      <w:r>
        <w:rPr>
          <w:color w:val="000000"/>
        </w:rPr>
        <w:br w:type="page"/>
      </w:r>
      <w:bookmarkStart w:id="54" w:name="_Toc358966976"/>
      <w:bookmarkStart w:id="55" w:name="_Toc522700779"/>
      <w:r>
        <w:lastRenderedPageBreak/>
        <w:t xml:space="preserve">VII. </w:t>
      </w:r>
      <w:r>
        <w:rPr>
          <w:u w:val="single"/>
        </w:rPr>
        <w:t>La Certification par unite d’acquis d’apprentissage (cpu)</w:t>
      </w:r>
      <w:bookmarkEnd w:id="54"/>
      <w:bookmarkEnd w:id="55"/>
    </w:p>
    <w:p>
      <w:pPr>
        <w:tabs>
          <w:tab w:val="left" w:pos="-1440"/>
          <w:tab w:val="left" w:pos="-720"/>
          <w:tab w:val="left" w:pos="1418"/>
        </w:tabs>
        <w:spacing w:after="120"/>
        <w:jc w:val="both"/>
      </w:pPr>
      <w:r>
        <w:t>Le présent chapitre concerne le dispositif CPU actuellement en vigueur pour les options de base groupée organisées en deux ans (5</w:t>
      </w:r>
      <w:r>
        <w:rPr>
          <w:vertAlign w:val="superscript"/>
        </w:rPr>
        <w:t>ème</w:t>
      </w:r>
      <w:r>
        <w:t xml:space="preserve"> et 6</w:t>
      </w:r>
      <w:r>
        <w:rPr>
          <w:vertAlign w:val="superscript"/>
        </w:rPr>
        <w:t>ème</w:t>
      </w:r>
      <w:r>
        <w:t>) ou sur trois ans (5</w:t>
      </w:r>
      <w:r>
        <w:rPr>
          <w:vertAlign w:val="superscript"/>
        </w:rPr>
        <w:t>ème</w:t>
      </w:r>
      <w:r>
        <w:t>, 6</w:t>
      </w:r>
      <w:r>
        <w:rPr>
          <w:vertAlign w:val="superscript"/>
        </w:rPr>
        <w:t>ème</w:t>
      </w:r>
      <w:r>
        <w:t xml:space="preserve"> et 7</w:t>
      </w:r>
      <w:r>
        <w:rPr>
          <w:vertAlign w:val="superscript"/>
        </w:rPr>
        <w:t>ème</w:t>
      </w:r>
      <w:r>
        <w:t>).</w:t>
      </w:r>
    </w:p>
    <w:p>
      <w:pPr>
        <w:tabs>
          <w:tab w:val="left" w:pos="-1440"/>
          <w:tab w:val="left" w:pos="-720"/>
          <w:tab w:val="left" w:pos="1418"/>
        </w:tabs>
        <w:spacing w:after="120"/>
        <w:jc w:val="both"/>
      </w:pPr>
      <w:r>
        <w:t>Pour rappel, à</w:t>
      </w:r>
      <w:r>
        <w:rPr>
          <w:bCs/>
          <w:color w:val="000000"/>
          <w:lang w:val="fr-BE"/>
        </w:rPr>
        <w:t xml:space="preserve"> partir du 1er septembre 2018 </w:t>
      </w:r>
      <w:r>
        <w:rPr>
          <w:rStyle w:val="Appelnotedebasdep"/>
          <w:b/>
          <w:bCs/>
          <w:color w:val="000000"/>
          <w:lang w:val="fr-BE"/>
        </w:rPr>
        <w:footnoteReference w:id="133"/>
      </w:r>
      <w:r>
        <w:rPr>
          <w:bCs/>
          <w:color w:val="000000"/>
          <w:lang w:val="fr-BE"/>
        </w:rPr>
        <w:t>, la certification par unité d’acquis d’apprentissage (CPU) s’organisera dans un dispositif expérimental en vue d’implémenter des options de base groupées dans le régime de la CPU en 4ème, 5ème et 6ème années (et non plus en 5ème et 6ème années ou de la 5ème à la 7ème année) de l’enseignement qualifiant tant en plein exercice qu’en alternance. A ce sujet voir la circulaire n°6652 du 14/05/2018.</w:t>
      </w:r>
    </w:p>
    <w:p>
      <w:pPr>
        <w:pStyle w:val="Titre3"/>
        <w:numPr>
          <w:ilvl w:val="0"/>
          <w:numId w:val="53"/>
        </w:numPr>
        <w:tabs>
          <w:tab w:val="clear" w:pos="720"/>
          <w:tab w:val="clear" w:pos="6521"/>
          <w:tab w:val="num" w:pos="360"/>
        </w:tabs>
        <w:suppressAutoHyphens w:val="0"/>
        <w:spacing w:before="240" w:after="60"/>
        <w:ind w:hanging="720"/>
        <w:jc w:val="both"/>
        <w:rPr>
          <w:rStyle w:val="niveau4Car"/>
        </w:rPr>
      </w:pPr>
      <w:bookmarkStart w:id="56" w:name="_Toc358966977"/>
      <w:r>
        <w:rPr>
          <w:rStyle w:val="niveau4Car"/>
        </w:rPr>
        <w:t>Organisation générale</w:t>
      </w:r>
    </w:p>
    <w:p>
      <w:pPr>
        <w:ind w:left="708"/>
        <w:rPr>
          <w:lang w:val="fr-BE"/>
        </w:rPr>
      </w:pPr>
      <w:r>
        <w:rPr>
          <w:lang w:val="fr-BE"/>
        </w:rPr>
        <w:t>Les établissements disposent d’un plan de mise en œuvre à partir du 1</w:t>
      </w:r>
      <w:r>
        <w:rPr>
          <w:vertAlign w:val="superscript"/>
          <w:lang w:val="fr-BE"/>
        </w:rPr>
        <w:t>er</w:t>
      </w:r>
      <w:r>
        <w:rPr>
          <w:lang w:val="fr-BE"/>
        </w:rPr>
        <w:t xml:space="preserve"> septembre de l’année scolaire où ils organisent des formations dans le régime de la CPU. Le plan est tenu à disposition de l’administration et du service général de l’Inspection.</w:t>
      </w:r>
    </w:p>
    <w:p>
      <w:pPr>
        <w:ind w:left="708"/>
        <w:rPr>
          <w:lang w:val="fr-BE"/>
        </w:rPr>
      </w:pPr>
    </w:p>
    <w:p>
      <w:pPr>
        <w:ind w:left="708"/>
        <w:rPr>
          <w:lang w:val="fr-BE"/>
        </w:rPr>
      </w:pPr>
      <w:r>
        <w:rPr>
          <w:lang w:val="fr-BE"/>
        </w:rPr>
        <w:t>Les établissements communiquent à l’élève qui commence une formation dans le régime de la CPU un dossier d’apprentissage CPU, qui l’accompagnera dans sa démarche apprenante.</w:t>
      </w:r>
    </w:p>
    <w:p>
      <w:pPr>
        <w:ind w:left="708"/>
        <w:rPr>
          <w:lang w:val="fr-BE"/>
        </w:rPr>
      </w:pPr>
      <w:r>
        <w:rPr>
          <w:lang w:val="fr-BE"/>
        </w:rPr>
        <w:t>Ce document:</w:t>
      </w:r>
    </w:p>
    <w:p>
      <w:pPr>
        <w:pStyle w:val="Paragraphedeliste"/>
        <w:numPr>
          <w:ilvl w:val="0"/>
          <w:numId w:val="56"/>
        </w:numPr>
        <w:rPr>
          <w:lang w:val="fr-BE"/>
        </w:rPr>
      </w:pPr>
      <w:r>
        <w:rPr>
          <w:lang w:val="fr-BE"/>
        </w:rPr>
        <w:t>énonce les objectifs de la formation générale et de la formation qualifiante ;</w:t>
      </w:r>
    </w:p>
    <w:p>
      <w:pPr>
        <w:pStyle w:val="Paragraphedeliste"/>
        <w:numPr>
          <w:ilvl w:val="0"/>
          <w:numId w:val="56"/>
        </w:numPr>
        <w:rPr>
          <w:lang w:val="fr-BE"/>
        </w:rPr>
      </w:pPr>
      <w:r>
        <w:rPr>
          <w:lang w:val="fr-BE"/>
        </w:rPr>
        <w:t>reprend les unités d’acquis d’apprentissage à valider ;</w:t>
      </w:r>
    </w:p>
    <w:p>
      <w:pPr>
        <w:pStyle w:val="Paragraphedeliste"/>
        <w:numPr>
          <w:ilvl w:val="0"/>
          <w:numId w:val="56"/>
        </w:numPr>
        <w:rPr>
          <w:lang w:val="fr-BE"/>
        </w:rPr>
      </w:pPr>
      <w:r>
        <w:rPr>
          <w:lang w:val="fr-BE"/>
        </w:rPr>
        <w:t>définit les modalités et la périodicité des épreuves de qualification ;</w:t>
      </w:r>
    </w:p>
    <w:p>
      <w:pPr>
        <w:pStyle w:val="Paragraphedeliste"/>
        <w:numPr>
          <w:ilvl w:val="0"/>
          <w:numId w:val="56"/>
        </w:numPr>
      </w:pPr>
      <w:r>
        <w:rPr>
          <w:lang w:val="fr-BE"/>
        </w:rPr>
        <w:t>détaille l’évolution graduelle des acquis d’apprentissage maîtrisés et restant à acquérir par l’élève ainsi que, le cas échéant, les remédiations proposées ; cette partie du document est mise à jour régulièrement sous la responsabilité du Conseil de classe.</w:t>
      </w:r>
    </w:p>
    <w:p>
      <w:pPr>
        <w:pStyle w:val="Titre3"/>
        <w:numPr>
          <w:ilvl w:val="0"/>
          <w:numId w:val="53"/>
        </w:numPr>
        <w:tabs>
          <w:tab w:val="clear" w:pos="720"/>
          <w:tab w:val="clear" w:pos="6521"/>
          <w:tab w:val="num" w:pos="360"/>
        </w:tabs>
        <w:suppressAutoHyphens w:val="0"/>
        <w:spacing w:before="240" w:after="60"/>
        <w:ind w:hanging="720"/>
        <w:jc w:val="both"/>
        <w:rPr>
          <w:rStyle w:val="niveau4Car"/>
        </w:rPr>
      </w:pPr>
      <w:r>
        <w:rPr>
          <w:rStyle w:val="niveau4Car"/>
        </w:rPr>
        <w:t>Notion d’élève régulier dans le régime de la CPU</w:t>
      </w:r>
      <w:bookmarkEnd w:id="56"/>
    </w:p>
    <w:p>
      <w:pPr>
        <w:rPr>
          <w:rFonts w:ascii="Verdana" w:hAnsi="Verdan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 xml:space="preserve">Dans le régime de la CPU, l’expression </w:t>
      </w:r>
      <w:r>
        <w:rPr>
          <w:rFonts w:ascii="Book Antiqua" w:hAnsi="Book Antiqua" w:cs="CenturySchoolbook"/>
          <w:color w:val="000000"/>
          <w:u w:val="single"/>
        </w:rPr>
        <w:t>«élève régulier»</w:t>
      </w:r>
      <w:r>
        <w:rPr>
          <w:rFonts w:ascii="Book Antiqua" w:hAnsi="Book Antiqua" w:cs="CenturySchoolbook"/>
          <w:color w:val="000000"/>
        </w:rPr>
        <w:t xml:space="preserve"> désigne l'élève qui, répondant aux conditions d'admission, est inscrit dans une orientation d'études déterminée et en </w:t>
      </w:r>
      <w:r>
        <w:rPr>
          <w:rFonts w:ascii="Book Antiqua" w:hAnsi="Book Antiqua" w:cs="CenturySchoolbook"/>
          <w:color w:val="000000"/>
          <w:u w:val="single"/>
        </w:rPr>
        <w:t>suit effectivement et assidûment les cours et activités dans le but d'obtenir la validation des unités d'acquis d'apprentissage et la certification prévue au terme du degré ou de la formation (pour les formations « article 45 »)</w:t>
      </w:r>
      <w:r>
        <w:rPr>
          <w:rFonts w:ascii="Book Antiqua" w:hAnsi="Book Antiqua" w:cs="CenturySchoolbook"/>
          <w:color w:val="000000"/>
        </w:rPr>
        <w:t>.</w:t>
      </w:r>
    </w:p>
    <w:p>
      <w:pPr>
        <w:suppressAutoHyphens w:val="0"/>
        <w:autoSpaceDE w:val="0"/>
        <w:autoSpaceDN w:val="0"/>
        <w:adjustRightInd w:val="0"/>
        <w:ind w:left="709"/>
        <w:rPr>
          <w:rFonts w:ascii="Calibri" w:hAnsi="Calibri" w:cs="Calibri"/>
          <w:sz w:val="24"/>
          <w:szCs w:val="24"/>
          <w:lang w:eastAsia="fr-FR"/>
        </w:rPr>
      </w:pPr>
    </w:p>
    <w:p>
      <w:pPr>
        <w:ind w:left="708"/>
      </w:pPr>
      <w:r>
        <w:rPr>
          <w:rFonts w:ascii="Book Antiqua" w:hAnsi="Book Antiqua" w:cs="CenturySchoolbook"/>
          <w:color w:val="000000"/>
        </w:rPr>
        <w:t>Un élève déclaré élève libre en 5</w:t>
      </w:r>
      <w:r>
        <w:rPr>
          <w:rFonts w:ascii="Book Antiqua" w:hAnsi="Book Antiqua" w:cs="CenturySchoolbook"/>
          <w:color w:val="000000"/>
          <w:vertAlign w:val="superscript"/>
        </w:rPr>
        <w:t>ème</w:t>
      </w:r>
      <w:r>
        <w:rPr>
          <w:rFonts w:ascii="Book Antiqua" w:hAnsi="Book Antiqua" w:cs="CenturySchoolbook"/>
          <w:color w:val="000000"/>
        </w:rPr>
        <w:t xml:space="preserve"> année et qui n’aurait pas recouvré la qualité d’élève régulier avant la fin de l’année scolaire ne peut être admis en 6</w:t>
      </w:r>
      <w:r>
        <w:rPr>
          <w:rFonts w:ascii="Book Antiqua" w:hAnsi="Book Antiqua" w:cs="CenturySchoolbook"/>
          <w:color w:val="000000"/>
          <w:vertAlign w:val="superscript"/>
        </w:rPr>
        <w:t>ème</w:t>
      </w:r>
      <w:r>
        <w:rPr>
          <w:rFonts w:ascii="Book Antiqua" w:hAnsi="Book Antiqua" w:cs="CenturySchoolbook"/>
          <w:color w:val="000000"/>
        </w:rPr>
        <w:t xml:space="preserve"> année. L’année d’études ne comptera pas dans son parcours scolaire. Il ne pourra être admis qu’en 5</w:t>
      </w:r>
      <w:r>
        <w:rPr>
          <w:rFonts w:ascii="Book Antiqua" w:hAnsi="Book Antiqua" w:cs="CenturySchoolbook"/>
          <w:color w:val="000000"/>
          <w:vertAlign w:val="superscript"/>
        </w:rPr>
        <w:t>ème</w:t>
      </w:r>
      <w:r>
        <w:rPr>
          <w:rFonts w:ascii="Book Antiqua" w:hAnsi="Book Antiqua" w:cs="CenturySchoolbook"/>
          <w:color w:val="000000"/>
        </w:rPr>
        <w:t xml:space="preserve"> année.</w:t>
      </w:r>
    </w:p>
    <w:p/>
    <w:p>
      <w:pPr>
        <w:pStyle w:val="Titre3"/>
        <w:numPr>
          <w:ilvl w:val="0"/>
          <w:numId w:val="53"/>
        </w:numPr>
        <w:tabs>
          <w:tab w:val="clear" w:pos="720"/>
          <w:tab w:val="clear" w:pos="6521"/>
          <w:tab w:val="num" w:pos="360"/>
        </w:tabs>
        <w:suppressAutoHyphens w:val="0"/>
        <w:spacing w:before="240" w:after="60"/>
        <w:ind w:hanging="720"/>
        <w:jc w:val="both"/>
        <w:rPr>
          <w:rStyle w:val="niveau4Car"/>
        </w:rPr>
      </w:pPr>
      <w:bookmarkStart w:id="57" w:name="_Toc358966978"/>
      <w:r>
        <w:rPr>
          <w:rStyle w:val="niveau4Car"/>
        </w:rPr>
        <w:t>Les missions spécifiques du Conseil de classe dans le régime de la CPU</w:t>
      </w:r>
      <w:bookmarkEnd w:id="57"/>
    </w:p>
    <w:p>
      <w:pPr>
        <w:rPr>
          <w:rFonts w:ascii="Verdana" w:hAnsi="Verdana" w:cs="CenturySchoolbook"/>
          <w:color w:val="000000"/>
        </w:rPr>
      </w:pPr>
    </w:p>
    <w:p>
      <w:pPr>
        <w:ind w:left="709"/>
        <w:rPr>
          <w:rFonts w:ascii="Book Antiqua" w:hAnsi="Book Antiqua" w:cs="CenturySchoolbook"/>
          <w:color w:val="000000"/>
        </w:rPr>
      </w:pPr>
      <w:r>
        <w:rPr>
          <w:rFonts w:ascii="Book Antiqua" w:hAnsi="Book Antiqua" w:cs="CenturySchoolbook"/>
          <w:color w:val="000000"/>
        </w:rPr>
        <w:t>Complémentairement à ses autres missions, le Conseil de classe doit :</w:t>
      </w:r>
    </w:p>
    <w:p>
      <w:pPr>
        <w:ind w:left="709"/>
        <w:rPr>
          <w:rFonts w:ascii="Book Antiqua" w:hAnsi="Book Antiqua" w:cs="CenturySchoolbook"/>
          <w:color w:val="000000"/>
        </w:rPr>
      </w:pPr>
    </w:p>
    <w:p>
      <w:pPr>
        <w:numPr>
          <w:ilvl w:val="0"/>
          <w:numId w:val="50"/>
        </w:numPr>
        <w:tabs>
          <w:tab w:val="clear" w:pos="720"/>
          <w:tab w:val="num" w:pos="1429"/>
        </w:tabs>
        <w:suppressAutoHyphens w:val="0"/>
        <w:ind w:left="1429"/>
        <w:jc w:val="both"/>
        <w:rPr>
          <w:rFonts w:ascii="Book Antiqua" w:hAnsi="Book Antiqua" w:cs="CenturySchoolbook"/>
          <w:color w:val="000000"/>
        </w:rPr>
      </w:pPr>
      <w:r>
        <w:rPr>
          <w:rFonts w:ascii="Book Antiqua" w:hAnsi="Book Antiqua" w:cs="CenturySchoolbook"/>
          <w:color w:val="000000"/>
        </w:rPr>
        <w:t>veiller à la mise à jour régulière du dossier d’apprentissage CPU ;</w:t>
      </w:r>
    </w:p>
    <w:p>
      <w:pPr>
        <w:numPr>
          <w:ilvl w:val="0"/>
          <w:numId w:val="50"/>
        </w:numPr>
        <w:tabs>
          <w:tab w:val="clear" w:pos="720"/>
          <w:tab w:val="num" w:pos="1429"/>
        </w:tabs>
        <w:suppressAutoHyphens w:val="0"/>
        <w:ind w:left="1429"/>
        <w:jc w:val="both"/>
        <w:rPr>
          <w:rFonts w:ascii="Book Antiqua" w:hAnsi="Book Antiqua" w:cs="CenturySchoolbook"/>
          <w:color w:val="000000"/>
        </w:rPr>
      </w:pPr>
      <w:r>
        <w:rPr>
          <w:rFonts w:ascii="Book Antiqua" w:hAnsi="Book Antiqua" w:cs="CenturySchoolbook"/>
          <w:color w:val="000000"/>
        </w:rPr>
        <w:t>délivrer le rapport de compétences CPU ;</w:t>
      </w:r>
    </w:p>
    <w:p>
      <w:pPr>
        <w:numPr>
          <w:ilvl w:val="0"/>
          <w:numId w:val="50"/>
        </w:numPr>
        <w:tabs>
          <w:tab w:val="clear" w:pos="720"/>
          <w:tab w:val="num" w:pos="1429"/>
        </w:tabs>
        <w:suppressAutoHyphens w:val="0"/>
        <w:ind w:left="1429"/>
        <w:jc w:val="both"/>
        <w:rPr>
          <w:rFonts w:ascii="Book Antiqua" w:hAnsi="Book Antiqua" w:cs="CenturySchoolbook"/>
        </w:rPr>
      </w:pPr>
      <w:r>
        <w:rPr>
          <w:rFonts w:ascii="Book Antiqua" w:hAnsi="Book Antiqua" w:cs="CenturySchoolbook"/>
        </w:rPr>
        <w:t>établir le programme d’apprentissages complémentaires CPU pour les élèves inscrits en C3D.</w:t>
      </w:r>
    </w:p>
    <w:p>
      <w:pPr>
        <w:pStyle w:val="Titre3"/>
        <w:numPr>
          <w:ilvl w:val="0"/>
          <w:numId w:val="53"/>
        </w:numPr>
        <w:tabs>
          <w:tab w:val="clear" w:pos="720"/>
          <w:tab w:val="clear" w:pos="6521"/>
          <w:tab w:val="num" w:pos="360"/>
        </w:tabs>
        <w:suppressAutoHyphens w:val="0"/>
        <w:spacing w:before="240" w:after="60"/>
        <w:ind w:left="426" w:hanging="426"/>
        <w:jc w:val="both"/>
        <w:rPr>
          <w:rStyle w:val="niveau4Car"/>
          <w:b/>
          <w:bCs/>
        </w:rPr>
      </w:pPr>
      <w:bookmarkStart w:id="58" w:name="_Toc358966979"/>
      <w:r>
        <w:rPr>
          <w:rStyle w:val="niveau4Car"/>
        </w:rPr>
        <w:t>Les missions spécifiques du Jury de qualification dans le régime de la CPU</w:t>
      </w:r>
      <w:bookmarkEnd w:id="58"/>
    </w:p>
    <w:p>
      <w:pPr>
        <w:rPr>
          <w:rFonts w:ascii="Verdana" w:hAnsi="Verdan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Outre la délivrance du certificat de qualification, le jury de qualification CPU est chargé de valider les unités d’acquis d’apprentissage après chacune des épreuves de qualification.</w:t>
      </w:r>
    </w:p>
    <w:p>
      <w:pPr>
        <w:ind w:left="70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lastRenderedPageBreak/>
        <w:t>S’il ne peut être au complet, le Jury de qualification peut déléguer la validation des Unités d’acquis d’apprentissage aux membres du personnel enseignant qui ont assuré spécifiquement les apprentissages de l’Unité d’acquis d’apprentissage concernée et quand cela est possible, à un ou plusieurs membres extérieurs à l’établissement</w:t>
      </w:r>
      <w:r>
        <w:rPr>
          <w:rStyle w:val="Appelnotedebasdep"/>
          <w:rFonts w:ascii="Book Antiqua" w:hAnsi="Book Antiqua"/>
          <w:color w:val="000000"/>
        </w:rPr>
        <w:footnoteReference w:id="134"/>
      </w:r>
      <w:r>
        <w:rPr>
          <w:rFonts w:ascii="Book Antiqua" w:hAnsi="Book Antiqua" w:cs="CenturySchoolbook"/>
          <w:color w:val="000000"/>
        </w:rPr>
        <w:t>.</w:t>
      </w:r>
    </w:p>
    <w:p>
      <w:pPr>
        <w:pStyle w:val="titre40"/>
        <w:ind w:left="709"/>
        <w:rPr>
          <w:rFonts w:ascii="Book Antiqua" w:hAnsi="Book Antiqua" w:cs="CenturySchoolbook"/>
          <w:i w:val="0"/>
          <w:color w:val="000000"/>
          <w:sz w:val="20"/>
          <w:szCs w:val="20"/>
          <w:u w:val="none"/>
        </w:rPr>
      </w:pPr>
    </w:p>
    <w:p>
      <w:pPr>
        <w:pStyle w:val="titre40"/>
        <w:ind w:left="709"/>
        <w:rPr>
          <w:rFonts w:ascii="Book Antiqua" w:hAnsi="Book Antiqua"/>
          <w:color w:val="000000"/>
          <w:sz w:val="20"/>
          <w:szCs w:val="20"/>
        </w:rPr>
      </w:pPr>
      <w:r>
        <w:rPr>
          <w:rFonts w:ascii="Book Antiqua" w:hAnsi="Book Antiqua"/>
          <w:color w:val="000000"/>
          <w:sz w:val="20"/>
          <w:szCs w:val="20"/>
        </w:rPr>
        <w:t>En vue de la délivrance du Certificat de qualification, le Jury de qualification fonde ses appréciations sur les éléments contenus dans le dossier d’apprentissage CPU, complémentairement aux résultats des épreuves de qualification et des observations collectées lors des stages.</w:t>
      </w:r>
    </w:p>
    <w:p>
      <w:pPr>
        <w:pStyle w:val="titre40"/>
        <w:rPr>
          <w:color w:val="000000"/>
        </w:rPr>
      </w:pPr>
    </w:p>
    <w:p>
      <w:pPr>
        <w:pStyle w:val="titre40"/>
        <w:rPr>
          <w:color w:val="000000"/>
        </w:rPr>
      </w:pPr>
      <w:r>
        <w:rPr>
          <w:rFonts w:ascii="Book Antiqua" w:hAnsi="Book Antiqua"/>
          <w:b/>
          <w:i w:val="0"/>
          <w:sz w:val="20"/>
          <w:szCs w:val="20"/>
          <w:u w:val="none"/>
        </w:rPr>
        <w:t>Remarque</w:t>
      </w:r>
      <w:r>
        <w:rPr>
          <w:rFonts w:ascii="Book Antiqua" w:hAnsi="Book Antiqua"/>
          <w:i w:val="0"/>
          <w:sz w:val="20"/>
          <w:szCs w:val="20"/>
          <w:u w:val="none"/>
        </w:rPr>
        <w:t xml:space="preserve"> : pour les élèves qui rejoignent le parcours CPU en cours de route, le Jury de qualification peut valider les UAA pour lesquelles il estime que l’élève possède les acquis d’apprentissage requis, sans nécessairement le soumettre à une épreuve de validation.</w:t>
      </w:r>
    </w:p>
    <w:p>
      <w:pPr>
        <w:pStyle w:val="Titre3"/>
        <w:numPr>
          <w:ilvl w:val="0"/>
          <w:numId w:val="53"/>
        </w:numPr>
        <w:tabs>
          <w:tab w:val="clear" w:pos="720"/>
          <w:tab w:val="clear" w:pos="6521"/>
          <w:tab w:val="num" w:pos="360"/>
        </w:tabs>
        <w:suppressAutoHyphens w:val="0"/>
        <w:spacing w:before="240" w:after="60"/>
        <w:ind w:hanging="720"/>
        <w:jc w:val="both"/>
        <w:rPr>
          <w:rStyle w:val="niveau4Car"/>
        </w:rPr>
      </w:pPr>
      <w:bookmarkStart w:id="59" w:name="_Toc358966980"/>
      <w:r>
        <w:rPr>
          <w:rStyle w:val="niveau4Car"/>
        </w:rPr>
        <w:t>Conditions d’admission</w:t>
      </w:r>
      <w:bookmarkEnd w:id="59"/>
      <w:r>
        <w:rPr>
          <w:rStyle w:val="niveau4Car"/>
        </w:rPr>
        <w:t xml:space="preserve"> </w:t>
      </w:r>
    </w:p>
    <w:p>
      <w:pPr>
        <w:rPr>
          <w:color w:val="000000"/>
        </w:rPr>
      </w:pPr>
    </w:p>
    <w:p>
      <w:pPr>
        <w:pStyle w:val="titre40"/>
        <w:rPr>
          <w:rFonts w:ascii="Book Antiqua" w:hAnsi="Book Antiqua"/>
          <w:i w:val="0"/>
          <w:color w:val="000000"/>
          <w:sz w:val="20"/>
          <w:szCs w:val="20"/>
        </w:rPr>
      </w:pPr>
      <w:r>
        <w:rPr>
          <w:rFonts w:ascii="Book Antiqua" w:hAnsi="Book Antiqua"/>
          <w:i w:val="0"/>
          <w:color w:val="000000"/>
          <w:sz w:val="20"/>
          <w:szCs w:val="20"/>
        </w:rPr>
        <w:t>1) Conditions d’admission en 6</w:t>
      </w:r>
      <w:r>
        <w:rPr>
          <w:rFonts w:ascii="Book Antiqua" w:hAnsi="Book Antiqua"/>
          <w:i w:val="0"/>
          <w:color w:val="000000"/>
          <w:sz w:val="20"/>
          <w:szCs w:val="20"/>
          <w:vertAlign w:val="superscript"/>
        </w:rPr>
        <w:t>ème</w:t>
      </w:r>
      <w:r>
        <w:rPr>
          <w:rFonts w:ascii="Book Antiqua" w:hAnsi="Book Antiqua"/>
          <w:i w:val="0"/>
          <w:color w:val="000000"/>
          <w:sz w:val="20"/>
          <w:szCs w:val="20"/>
        </w:rPr>
        <w:t xml:space="preserve"> année </w:t>
      </w:r>
    </w:p>
    <w:p>
      <w:pPr>
        <w:ind w:left="360"/>
        <w:rPr>
          <w:rFonts w:cs="CenturySchoolbook"/>
          <w:color w:val="000000"/>
        </w:rPr>
      </w:pPr>
    </w:p>
    <w:p>
      <w:pPr>
        <w:ind w:left="709"/>
        <w:jc w:val="both"/>
        <w:rPr>
          <w:rFonts w:ascii="Book Antiqua" w:hAnsi="Book Antiqua" w:cs="CenturySchoolbook,Italic"/>
          <w:iCs/>
          <w:color w:val="000000"/>
        </w:rPr>
      </w:pPr>
      <w:r>
        <w:rPr>
          <w:rFonts w:ascii="Book Antiqua" w:hAnsi="Book Antiqua" w:cs="CenturySchoolbook"/>
          <w:color w:val="000000"/>
        </w:rPr>
        <w:t xml:space="preserve">Dans le régime de la CPU, peuvent être admis comme élèves réguliers </w:t>
      </w:r>
      <w:r>
        <w:rPr>
          <w:rFonts w:ascii="Book Antiqua" w:hAnsi="Book Antiqua" w:cs="CenturySchoolbook"/>
          <w:color w:val="000000"/>
          <w:u w:val="single"/>
        </w:rPr>
        <w:t xml:space="preserve">en sixième année </w:t>
      </w:r>
      <w:r>
        <w:rPr>
          <w:rFonts w:ascii="Book Antiqua" w:hAnsi="Book Antiqua" w:cs="CenturySchoolbook,Italic"/>
          <w:iCs/>
          <w:color w:val="000000"/>
          <w:u w:val="single"/>
        </w:rPr>
        <w:t>dans l'enseignement secondaire technique</w:t>
      </w:r>
      <w:r>
        <w:rPr>
          <w:rFonts w:ascii="Book Antiqua" w:hAnsi="Book Antiqua" w:cs="CenturySchoolbook,Italic"/>
          <w:iCs/>
          <w:color w:val="000000"/>
        </w:rPr>
        <w:t xml:space="preserve"> : </w:t>
      </w:r>
    </w:p>
    <w:p>
      <w:pPr>
        <w:ind w:left="709"/>
        <w:rPr>
          <w:rFonts w:ascii="Book Antiqua" w:hAnsi="Book Antiqua" w:cs="CenturySchoolbook,Italic"/>
          <w:iCs/>
          <w:color w:val="000000"/>
        </w:rPr>
      </w:pPr>
    </w:p>
    <w:p>
      <w:pPr>
        <w:pStyle w:val="Paragraphedeliste"/>
        <w:numPr>
          <w:ilvl w:val="0"/>
          <w:numId w:val="59"/>
        </w:numPr>
        <w:ind w:left="1560" w:hanging="426"/>
        <w:rPr>
          <w:rFonts w:ascii="Book Antiqua" w:hAnsi="Book Antiqua" w:cs="CenturySchoolbook,Italic"/>
          <w:iCs/>
          <w:color w:val="000000"/>
        </w:rPr>
      </w:pPr>
      <w:r>
        <w:rPr>
          <w:rFonts w:ascii="Book Antiqua" w:hAnsi="Book Antiqua" w:cs="CenturySchoolbook,Italic"/>
          <w:iCs/>
          <w:color w:val="000000"/>
        </w:rPr>
        <w:t xml:space="preserve">les élèves réguliers qui ont suivi, dans la même section et dans la même orientation d'études, soit la cinquième année de l'enseignement secondaire technique de plein exercice, soit la cinquième année de l'enseignement secondaire technique en alternance ; </w:t>
      </w:r>
    </w:p>
    <w:p>
      <w:pPr>
        <w:ind w:left="709"/>
        <w:rPr>
          <w:rFonts w:ascii="Book Antiqua" w:hAnsi="Book Antiqua" w:cs="CenturySchoolbook,Italic"/>
          <w:iCs/>
          <w:color w:val="000000"/>
        </w:rPr>
      </w:pPr>
    </w:p>
    <w:p>
      <w:pPr>
        <w:ind w:left="709"/>
        <w:rPr>
          <w:rFonts w:ascii="Book Antiqua" w:hAnsi="Book Antiqua" w:cs="CenturySchoolbook,Italic"/>
          <w:iCs/>
          <w:color w:val="000000"/>
        </w:rPr>
      </w:pPr>
      <w:r>
        <w:rPr>
          <w:rFonts w:ascii="Book Antiqua" w:hAnsi="Book Antiqua" w:cs="CenturySchoolbook,Italic"/>
          <w:iCs/>
          <w:color w:val="000000"/>
        </w:rPr>
        <w:t xml:space="preserve">Dans le régime de la CPU, peuvent être admis comme élèves réguliers </w:t>
      </w:r>
      <w:r>
        <w:rPr>
          <w:rFonts w:ascii="Book Antiqua" w:hAnsi="Book Antiqua" w:cs="CenturySchoolbook,Italic"/>
          <w:iCs/>
          <w:color w:val="000000"/>
          <w:u w:val="single"/>
        </w:rPr>
        <w:t>en sixième année dans l'enseignement secondaire professionnel</w:t>
      </w:r>
      <w:r>
        <w:rPr>
          <w:rFonts w:ascii="Book Antiqua" w:hAnsi="Book Antiqua" w:cs="CenturySchoolbook,Italic"/>
          <w:iCs/>
          <w:color w:val="000000"/>
        </w:rPr>
        <w:t xml:space="preserve"> :</w:t>
      </w:r>
    </w:p>
    <w:p>
      <w:pPr>
        <w:ind w:left="709"/>
        <w:rPr>
          <w:rFonts w:ascii="Book Antiqua" w:hAnsi="Book Antiqua" w:cs="CenturySchoolbook"/>
          <w:color w:val="000000"/>
        </w:rPr>
      </w:pPr>
    </w:p>
    <w:p>
      <w:pPr>
        <w:numPr>
          <w:ilvl w:val="0"/>
          <w:numId w:val="52"/>
        </w:numPr>
        <w:tabs>
          <w:tab w:val="clear" w:pos="792"/>
          <w:tab w:val="num" w:pos="1501"/>
        </w:tabs>
        <w:suppressAutoHyphens w:val="0"/>
        <w:autoSpaceDE w:val="0"/>
        <w:autoSpaceDN w:val="0"/>
        <w:adjustRightInd w:val="0"/>
        <w:ind w:left="1501"/>
        <w:jc w:val="both"/>
        <w:rPr>
          <w:rFonts w:ascii="Book Antiqua" w:hAnsi="Book Antiqua" w:cs="CenturySchoolbook,Italic"/>
          <w:iCs/>
          <w:color w:val="000000"/>
        </w:rPr>
      </w:pPr>
      <w:r>
        <w:rPr>
          <w:rFonts w:ascii="Book Antiqua" w:hAnsi="Book Antiqua" w:cs="CenturySchoolbook,Italic"/>
          <w:iCs/>
          <w:color w:val="000000"/>
        </w:rPr>
        <w:t>les élèves réguliers qui ont suivi, dans la même orientation d'études ou dans une orientation d'études correspondante, soit la cinquième année de l'enseignement secondaire professionnel de plein exercice, soit la cinquième année de l'enseignement secondaire professionnel en alternance ;</w:t>
      </w:r>
    </w:p>
    <w:p>
      <w:pPr>
        <w:numPr>
          <w:ilvl w:val="0"/>
          <w:numId w:val="52"/>
        </w:numPr>
        <w:tabs>
          <w:tab w:val="clear" w:pos="792"/>
          <w:tab w:val="num" w:pos="851"/>
        </w:tabs>
        <w:suppressAutoHyphens w:val="0"/>
        <w:autoSpaceDE w:val="0"/>
        <w:autoSpaceDN w:val="0"/>
        <w:adjustRightInd w:val="0"/>
        <w:ind w:left="1560" w:hanging="284"/>
        <w:jc w:val="both"/>
        <w:rPr>
          <w:rFonts w:ascii="Book Antiqua" w:hAnsi="Book Antiqua" w:cs="CenturySchoolbook,Italic"/>
          <w:iCs/>
          <w:color w:val="000000"/>
        </w:rPr>
      </w:pPr>
      <w:r>
        <w:rPr>
          <w:rFonts w:ascii="Book Antiqua" w:hAnsi="Book Antiqua" w:cs="CenturySchoolbook,Italic"/>
          <w:iCs/>
          <w:color w:val="000000"/>
        </w:rPr>
        <w:t>les élèves réguliers qui ont suivi, dans une orientation d'études correspondante, soit la cinquième année de l'enseignement secondaire technique de qualification de plein exercice, soit la cinquième année de l'enseignement secondaire technique de qualification en alternance ;</w:t>
      </w:r>
    </w:p>
    <w:p>
      <w:pPr>
        <w:suppressAutoHyphens w:val="0"/>
        <w:autoSpaceDE w:val="0"/>
        <w:autoSpaceDN w:val="0"/>
        <w:adjustRightInd w:val="0"/>
        <w:jc w:val="both"/>
        <w:rPr>
          <w:rFonts w:ascii="Book Antiqua" w:hAnsi="Book Antiqua" w:cs="CenturySchoolbook,Italic"/>
          <w:iCs/>
          <w:color w:val="000000"/>
        </w:rPr>
      </w:pPr>
    </w:p>
    <w:p>
      <w:pPr>
        <w:suppressAutoHyphens w:val="0"/>
        <w:autoSpaceDE w:val="0"/>
        <w:autoSpaceDN w:val="0"/>
        <w:adjustRightInd w:val="0"/>
        <w:jc w:val="both"/>
        <w:rPr>
          <w:rFonts w:ascii="Book Antiqua" w:hAnsi="Book Antiqua" w:cs="CenturySchoolbook,Italic"/>
          <w:iCs/>
          <w:color w:val="000000"/>
          <w:u w:val="single"/>
        </w:rPr>
      </w:pPr>
      <w:r>
        <w:rPr>
          <w:rFonts w:ascii="Book Antiqua" w:hAnsi="Book Antiqua" w:cs="CenturySchoolbook,Italic"/>
          <w:iCs/>
          <w:color w:val="000000"/>
        </w:rPr>
        <w:t xml:space="preserve">2) </w:t>
      </w:r>
      <w:r>
        <w:rPr>
          <w:rFonts w:ascii="Book Antiqua" w:hAnsi="Book Antiqua" w:cs="CenturySchoolbook,Italic"/>
          <w:iCs/>
          <w:color w:val="000000"/>
          <w:u w:val="single"/>
        </w:rPr>
        <w:t>Conditions d’admission en 7</w:t>
      </w:r>
      <w:r>
        <w:rPr>
          <w:rFonts w:ascii="Book Antiqua" w:hAnsi="Book Antiqua" w:cs="CenturySchoolbook,Italic"/>
          <w:iCs/>
          <w:color w:val="000000"/>
          <w:u w:val="single"/>
          <w:vertAlign w:val="superscript"/>
        </w:rPr>
        <w:t>ème</w:t>
      </w:r>
      <w:r>
        <w:rPr>
          <w:rFonts w:ascii="Book Antiqua" w:hAnsi="Book Antiqua" w:cs="CenturySchoolbook,Italic"/>
          <w:iCs/>
          <w:color w:val="000000"/>
          <w:u w:val="single"/>
        </w:rPr>
        <w:t xml:space="preserve"> année </w:t>
      </w:r>
    </w:p>
    <w:p>
      <w:pPr>
        <w:ind w:left="70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 xml:space="preserve">Dans le régime de la CPU, peuvent être admis comme élèves réguliers en </w:t>
      </w:r>
      <w:r>
        <w:rPr>
          <w:rFonts w:ascii="Book Antiqua" w:hAnsi="Book Antiqua" w:cs="CenturySchoolbook"/>
          <w:color w:val="000000"/>
          <w:u w:val="single"/>
        </w:rPr>
        <w:t>septième année dans l'enseignement secondaire technique</w:t>
      </w:r>
      <w:r>
        <w:rPr>
          <w:rFonts w:ascii="Book Antiqua" w:hAnsi="Book Antiqua" w:cs="CenturySchoolbook"/>
          <w:color w:val="000000"/>
        </w:rPr>
        <w:t xml:space="preserve"> : les élèves réguliers qui ont suivi, dans la même section et la même orientation d'études, la cinquième et la sixième années de l'enseignement secondaire technique de plein exercice ou de l'enseignement secondaire technique en alternance dans une option de base groupée dont le profil de certification prévoit qu'elle est organisée en trois ans. </w:t>
      </w:r>
    </w:p>
    <w:p>
      <w:pPr>
        <w:ind w:left="70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 xml:space="preserve">Dans le régime de la CPU, peuvent être admis comme élèves réguliers en </w:t>
      </w:r>
      <w:r>
        <w:rPr>
          <w:rFonts w:ascii="Book Antiqua" w:hAnsi="Book Antiqua" w:cs="CenturySchoolbook"/>
          <w:color w:val="000000"/>
          <w:u w:val="single"/>
        </w:rPr>
        <w:t>septième année dans l'enseignement secondaire professionnel</w:t>
      </w:r>
      <w:r>
        <w:rPr>
          <w:rFonts w:ascii="Book Antiqua" w:hAnsi="Book Antiqua" w:cs="CenturySchoolbook"/>
          <w:color w:val="000000"/>
        </w:rPr>
        <w:t> : les élèves réguliers qui ont suivi, dans la même orientation d'études, la sixième année de l'enseignement secondaire professionnel de plein exercice ou de l'enseignement secondaire professionnel en alternance dans une option de base groupée dont le profil de certification prévoit qu'elle est organisée en trois ans. </w:t>
      </w:r>
    </w:p>
    <w:p>
      <w:pPr>
        <w:ind w:left="709"/>
        <w:jc w:val="both"/>
        <w:rPr>
          <w:rFonts w:ascii="Book Antiqua" w:hAnsi="Book Antiqua" w:cs="CenturySchoolbook"/>
          <w:color w:val="000000"/>
        </w:rPr>
      </w:pPr>
    </w:p>
    <w:p>
      <w:pPr>
        <w:autoSpaceDE w:val="0"/>
        <w:autoSpaceDN w:val="0"/>
        <w:adjustRightInd w:val="0"/>
        <w:ind w:left="432"/>
        <w:rPr>
          <w:rFonts w:cs="CenturySchoolbook,Italic"/>
          <w:iCs/>
          <w:color w:val="000000"/>
        </w:rPr>
      </w:pPr>
    </w:p>
    <w:p>
      <w:pPr>
        <w:rPr>
          <w:rFonts w:ascii="Book Antiqua" w:hAnsi="Book Antiqua"/>
          <w:color w:val="000000"/>
          <w:u w:val="single"/>
        </w:rPr>
      </w:pPr>
      <w:r>
        <w:rPr>
          <w:rFonts w:ascii="Book Antiqua" w:hAnsi="Book Antiqua"/>
          <w:color w:val="000000"/>
          <w:u w:val="single"/>
        </w:rPr>
        <w:t xml:space="preserve">3) Conditions d’admission en C3D </w:t>
      </w:r>
    </w:p>
    <w:p>
      <w:pPr>
        <w:autoSpaceDE w:val="0"/>
        <w:autoSpaceDN w:val="0"/>
        <w:adjustRightInd w:val="0"/>
        <w:rPr>
          <w:rFonts w:ascii="Verdana" w:hAnsi="Verdana" w:cs="CenturySchoolbook"/>
          <w:color w:val="000000"/>
        </w:rPr>
      </w:pPr>
    </w:p>
    <w:p>
      <w:pPr>
        <w:autoSpaceDE w:val="0"/>
        <w:autoSpaceDN w:val="0"/>
        <w:adjustRightInd w:val="0"/>
        <w:ind w:left="709"/>
        <w:rPr>
          <w:rFonts w:ascii="Book Antiqua" w:hAnsi="Book Antiqua" w:cs="CenturySchoolbook"/>
          <w:color w:val="000000"/>
        </w:rPr>
      </w:pPr>
      <w:r>
        <w:rPr>
          <w:rFonts w:ascii="Book Antiqua" w:hAnsi="Book Antiqua" w:cs="CenturySchoolbook"/>
          <w:color w:val="000000"/>
        </w:rPr>
        <w:t>Dans le régime de la CPU, sont admis dans l'année complémentaire au troisième degré de la section de qualification, en abrégé C3D :</w:t>
      </w:r>
    </w:p>
    <w:p>
      <w:pPr>
        <w:autoSpaceDE w:val="0"/>
        <w:autoSpaceDN w:val="0"/>
        <w:adjustRightInd w:val="0"/>
        <w:ind w:left="709"/>
        <w:rPr>
          <w:rFonts w:ascii="Book Antiqua" w:hAnsi="Book Antiqua" w:cs="CenturySchoolbook"/>
          <w:color w:val="000000"/>
        </w:rPr>
      </w:pP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lastRenderedPageBreak/>
        <w:t>les élèves réguliers qui, au terme de la sixième année de l'enseignement technique de qualification, n'ont pas obtenu le certificat de qualification et/ou le certificat d'enseignement secondaire supérieur;</w:t>
      </w: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t>les élèves réguliers qui, au terme de la sixième année de l'enseignement professionnel, n'ont pas obtenu le certificat de qualification et/ou le certificat d'études de sixième année de l'enseignement secondaire professionnel;</w:t>
      </w: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t>les élèves réguliers qui, au terme de la septième année de l'enseignement technique de qualification, n'ont pas obtenu le certificat de qualification;</w:t>
      </w: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t>les élèves réguliers qui, au terme de la septième année de l'enseignement professionnel, n'ont pas obtenu le certificat de qualification et/ou le certificat d'enseignement secondaire supérieur;</w:t>
      </w: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t>les élèves qui, au cours d'une année scolaire précédente, pendant la sixième ou la septième année de l'enseignement technique de qualification ou de l'enseignement professionnel, ont validé une ou plusieurs unités d'acquis d'apprentissage d'une de ces années d'études et ont perdu la qualité d'élève régulier sans l'avoir recouvrée avant fin de l'année scolaire.</w:t>
      </w:r>
    </w:p>
    <w:p>
      <w:pPr>
        <w:pStyle w:val="Titre3"/>
        <w:numPr>
          <w:ilvl w:val="0"/>
          <w:numId w:val="53"/>
        </w:numPr>
        <w:tabs>
          <w:tab w:val="clear" w:pos="720"/>
          <w:tab w:val="clear" w:pos="6521"/>
          <w:tab w:val="num" w:pos="360"/>
        </w:tabs>
        <w:suppressAutoHyphens w:val="0"/>
        <w:spacing w:before="240" w:after="60"/>
        <w:ind w:hanging="720"/>
        <w:jc w:val="both"/>
        <w:rPr>
          <w:rStyle w:val="niveau4Car"/>
        </w:rPr>
      </w:pPr>
      <w:bookmarkStart w:id="60" w:name="_Toc358966981"/>
      <w:r>
        <w:rPr>
          <w:rStyle w:val="niveau4Car"/>
        </w:rPr>
        <w:t>Sanction des études</w:t>
      </w:r>
      <w:bookmarkEnd w:id="60"/>
    </w:p>
    <w:p>
      <w:pPr>
        <w:tabs>
          <w:tab w:val="num" w:pos="360"/>
        </w:tabs>
        <w:ind w:left="709"/>
        <w:rPr>
          <w:rFonts w:ascii="Verdana" w:hAnsi="Verdana" w:cs="CenturySchoolbook,Italic"/>
          <w:iCs/>
          <w:color w:val="000000"/>
        </w:rPr>
      </w:pPr>
    </w:p>
    <w:p>
      <w:pPr>
        <w:tabs>
          <w:tab w:val="num" w:pos="360"/>
        </w:tabs>
        <w:ind w:left="709"/>
        <w:jc w:val="both"/>
        <w:rPr>
          <w:rFonts w:ascii="Book Antiqua" w:hAnsi="Book Antiqua" w:cs="CenturySchoolbook,Italic"/>
          <w:iCs/>
          <w:color w:val="000000"/>
        </w:rPr>
      </w:pPr>
      <w:r>
        <w:rPr>
          <w:rFonts w:ascii="Book Antiqua" w:hAnsi="Book Antiqua" w:cs="CenturySchoolbook,Italic"/>
          <w:iCs/>
          <w:color w:val="000000"/>
        </w:rPr>
        <w:t xml:space="preserve">Les années d'études organisées dans le régime de la CPU ne sont sanctionnées par aucune attestation d’orientation. Cela a pour conséquences qu’il n’y a pas de redoublement dans le régime de la CPU. </w:t>
      </w:r>
    </w:p>
    <w:p>
      <w:pPr>
        <w:tabs>
          <w:tab w:val="num" w:pos="360"/>
        </w:tabs>
        <w:ind w:left="709"/>
        <w:jc w:val="both"/>
        <w:rPr>
          <w:rFonts w:ascii="Book Antiqua" w:hAnsi="Book Antiqua" w:cs="CenturySchoolbook,Italic"/>
          <w:iCs/>
          <w:color w:val="000000"/>
        </w:rPr>
      </w:pPr>
    </w:p>
    <w:p>
      <w:pPr>
        <w:tabs>
          <w:tab w:val="num" w:pos="360"/>
        </w:tabs>
        <w:ind w:left="709"/>
        <w:jc w:val="both"/>
        <w:rPr>
          <w:rFonts w:ascii="Book Antiqua" w:hAnsi="Book Antiqua" w:cs="CenturySchoolbook,Italic"/>
          <w:iCs/>
          <w:color w:val="000000"/>
        </w:rPr>
      </w:pPr>
      <w:r>
        <w:rPr>
          <w:rFonts w:ascii="Book Antiqua" w:hAnsi="Book Antiqua" w:cs="CenturySchoolbook,Italic"/>
          <w:b/>
          <w:iCs/>
          <w:color w:val="000000"/>
        </w:rPr>
        <w:t>La cinquième année d'études CPU de l'enseignement secondaire est sanctionnée par le rapport de compétences CPU</w:t>
      </w:r>
      <w:r>
        <w:rPr>
          <w:rFonts w:ascii="Book Antiqua" w:hAnsi="Book Antiqua" w:cs="CenturySchoolbook,Italic"/>
          <w:iCs/>
          <w:color w:val="000000"/>
        </w:rPr>
        <w:t xml:space="preserve">. </w:t>
      </w:r>
    </w:p>
    <w:p>
      <w:pPr>
        <w:tabs>
          <w:tab w:val="num" w:pos="360"/>
        </w:tabs>
        <w:ind w:left="709"/>
        <w:jc w:val="both"/>
        <w:rPr>
          <w:rFonts w:ascii="Book Antiqua" w:hAnsi="Book Antiqua" w:cs="CenturySchoolbook,Italic"/>
          <w:iCs/>
          <w:color w:val="000000"/>
          <w:u w:val="dash"/>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La sixième année d'études CPU de l'enseignement secondaire est sanctionnée par le CQ, le CESS ou le CE6P ou par le rapport de compétences CPU, accompagné d'une attestation d'orientation vers l'année complémentaire au troisième degré de la section de qualification (C3D).</w:t>
      </w:r>
    </w:p>
    <w:p>
      <w:pPr>
        <w:autoSpaceDE w:val="0"/>
        <w:autoSpaceDN w:val="0"/>
        <w:adjustRightInd w:val="0"/>
        <w:ind w:left="709"/>
        <w:jc w:val="both"/>
        <w:rPr>
          <w:rFonts w:ascii="Book Antiqua" w:hAnsi="Book Antiqua" w:cs="CenturySchoolbook,Italic"/>
          <w:b/>
          <w:iCs/>
          <w:color w:val="000000"/>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 xml:space="preserve">La sixième année d’études CPU de l’enseignement secondaire dont </w:t>
      </w:r>
      <w:r>
        <w:rPr>
          <w:rFonts w:ascii="Book Antiqua" w:hAnsi="Book Antiqua"/>
          <w:b/>
          <w:u w:val="single"/>
        </w:rPr>
        <w:t>l'option de base groupée est organisée sur trois ans, est uniquement sanctionnée par le rapport de compétences CPU.</w:t>
      </w:r>
    </w:p>
    <w:p>
      <w:pPr>
        <w:autoSpaceDE w:val="0"/>
        <w:autoSpaceDN w:val="0"/>
        <w:adjustRightInd w:val="0"/>
        <w:ind w:left="709"/>
        <w:jc w:val="both"/>
        <w:rPr>
          <w:rFonts w:ascii="Book Antiqua" w:hAnsi="Book Antiqua" w:cs="CenturySchoolbook,Italic"/>
          <w:b/>
          <w:iCs/>
          <w:color w:val="000000"/>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L'année complémentaire au troisième degré de la section de qualification (C3D) est sanctionnée par le CQ, le CESS ou le CE6P.</w:t>
      </w:r>
    </w:p>
    <w:p>
      <w:pPr>
        <w:autoSpaceDE w:val="0"/>
        <w:autoSpaceDN w:val="0"/>
        <w:adjustRightInd w:val="0"/>
        <w:rPr>
          <w:rFonts w:cs="CenturySchoolbook,Italic"/>
          <w:b/>
          <w:iCs/>
          <w:color w:val="000000"/>
        </w:rPr>
      </w:pPr>
    </w:p>
    <w:p>
      <w:pPr>
        <w:numPr>
          <w:ilvl w:val="0"/>
          <w:numId w:val="51"/>
        </w:numPr>
        <w:tabs>
          <w:tab w:val="clear" w:pos="720"/>
          <w:tab w:val="num" w:pos="1069"/>
        </w:tabs>
        <w:suppressAutoHyphens w:val="0"/>
        <w:ind w:left="1069"/>
        <w:jc w:val="both"/>
        <w:rPr>
          <w:rFonts w:cs="CenturySchoolbook,Italic"/>
          <w:iCs/>
          <w:color w:val="000000"/>
          <w:u w:val="dash"/>
        </w:rPr>
      </w:pPr>
      <w:r>
        <w:rPr>
          <w:rFonts w:ascii="Book Antiqua" w:hAnsi="Book Antiqua" w:cs="CenturySchoolbook"/>
          <w:color w:val="000000"/>
          <w:u w:val="dash"/>
        </w:rPr>
        <w:t>Certificat d’enseignement secondaire supérieur (CESS)</w:t>
      </w:r>
    </w:p>
    <w:p>
      <w:pPr>
        <w:ind w:left="709"/>
        <w:rPr>
          <w:rFonts w:cs="CenturySchoolbook,Italic"/>
          <w:iCs/>
          <w:color w:val="000000"/>
          <w:u w:val="dash"/>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
          <w:color w:val="000000"/>
        </w:rPr>
        <w:t>Dans le régime de la CPU, le certificat d'enseignement secondaire supérieur est délivré, par le Conseil de classe, aux élèves réguliers qui :</w:t>
      </w:r>
    </w:p>
    <w:p>
      <w:pPr>
        <w:pStyle w:val="Paragraphedeliste"/>
        <w:numPr>
          <w:ilvl w:val="0"/>
          <w:numId w:val="8"/>
        </w:numPr>
        <w:autoSpaceDE w:val="0"/>
        <w:autoSpaceDN w:val="0"/>
        <w:adjustRightInd w:val="0"/>
        <w:jc w:val="both"/>
        <w:rPr>
          <w:rFonts w:ascii="Book Antiqua" w:hAnsi="Book Antiqua" w:cs="CenturySchoolbook,Italic"/>
          <w:iCs/>
          <w:color w:val="000000"/>
        </w:rPr>
      </w:pPr>
      <w:r>
        <w:rPr>
          <w:rFonts w:ascii="Book Antiqua" w:hAnsi="Book Antiqua" w:cs="CenturySchoolbook,Italic"/>
          <w:iCs/>
          <w:color w:val="000000"/>
        </w:rPr>
        <w:t xml:space="preserve"> ont suivi la cinquième et la sixième année de</w:t>
      </w:r>
      <w:r>
        <w:rPr>
          <w:rFonts w:ascii="Book Antiqua" w:hAnsi="Book Antiqua" w:cs="CenturySchoolbook"/>
          <w:color w:val="000000"/>
        </w:rPr>
        <w:t xml:space="preserve"> </w:t>
      </w:r>
      <w:r>
        <w:rPr>
          <w:rFonts w:ascii="Book Antiqua" w:hAnsi="Book Antiqua" w:cs="CenturySchoolbook,Italic"/>
          <w:iCs/>
          <w:color w:val="000000"/>
        </w:rPr>
        <w:t xml:space="preserve">l'enseignement secondaire technique de qualification dans la même orientation d'études et </w:t>
      </w:r>
      <w:r>
        <w:rPr>
          <w:rFonts w:ascii="Book Antiqua" w:hAnsi="Book Antiqua" w:cs="CenturySchoolbook,Italic"/>
          <w:iCs/>
          <w:color w:val="000000"/>
          <w:u w:val="single"/>
        </w:rPr>
        <w:t>ont satisfait à l'ensemble de la formation des cinquième et sixième années</w:t>
      </w:r>
      <w:r>
        <w:rPr>
          <w:rFonts w:ascii="Book Antiqua" w:hAnsi="Book Antiqua" w:cs="CenturySchoolbook,Italic"/>
          <w:iCs/>
          <w:color w:val="000000"/>
        </w:rPr>
        <w:t>.</w:t>
      </w:r>
    </w:p>
    <w:p>
      <w:pPr>
        <w:autoSpaceDE w:val="0"/>
        <w:autoSpaceDN w:val="0"/>
        <w:adjustRightInd w:val="0"/>
        <w:ind w:left="709"/>
        <w:jc w:val="both"/>
        <w:rPr>
          <w:rFonts w:ascii="Book Antiqua" w:hAnsi="Book Antiqua" w:cs="CenturySchoolbook,Italic"/>
          <w:iCs/>
          <w:color w:val="000000"/>
        </w:rPr>
      </w:pPr>
    </w:p>
    <w:p>
      <w:pPr>
        <w:pStyle w:val="Paragraphedeliste"/>
        <w:numPr>
          <w:ilvl w:val="0"/>
          <w:numId w:val="8"/>
        </w:numPr>
        <w:jc w:val="both"/>
        <w:rPr>
          <w:rFonts w:ascii="Book Antiqua" w:hAnsi="Book Antiqua" w:cs="CenturySchoolbook"/>
          <w:color w:val="000000"/>
        </w:rPr>
      </w:pPr>
      <w:r>
        <w:rPr>
          <w:rFonts w:ascii="Book Antiqua" w:hAnsi="Book Antiqua" w:cs="CenturySchoolbook"/>
          <w:color w:val="000000"/>
        </w:rPr>
        <w:t xml:space="preserve"> ont terminé avec fruit la 7ème année d’études de l’enseignement secondaire professionnel ou la 7ème année professionnelle de l’enseignement en alternance (article 49) ;</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rPr>
          <w:rFonts w:cs="CenturySchoolbook,Italic"/>
          <w:iCs/>
          <w:color w:val="000000"/>
        </w:rPr>
      </w:pPr>
    </w:p>
    <w:p>
      <w:pPr>
        <w:ind w:left="709"/>
        <w:jc w:val="both"/>
        <w:rPr>
          <w:rFonts w:ascii="Book Antiqua" w:hAnsi="Book Antiqua" w:cs="CenturySchoolbook"/>
          <w:b/>
          <w:color w:val="000000"/>
        </w:rPr>
      </w:pPr>
      <w:r>
        <w:rPr>
          <w:rFonts w:ascii="Book Antiqua" w:hAnsi="Book Antiqua" w:cs="CenturySchoolbook"/>
          <w:b/>
          <w:color w:val="000000"/>
        </w:rPr>
        <w:t>Remarque pour les élèves inscrits en C3D :</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Italic"/>
          <w:iCs/>
          <w:color w:val="000000"/>
        </w:rPr>
        <w:t xml:space="preserve">Dans le régime de la CPU, le certificat d'enseignement secondaire supérieur est délivré, </w:t>
      </w:r>
      <w:r>
        <w:rPr>
          <w:rFonts w:ascii="Book Antiqua" w:hAnsi="Book Antiqua" w:cs="CenturySchoolbook,Italic"/>
          <w:b/>
          <w:iCs/>
          <w:color w:val="000000"/>
          <w:u w:val="single"/>
        </w:rPr>
        <w:t>quel que soit le moment de l'année scolaire</w:t>
      </w:r>
      <w:r>
        <w:rPr>
          <w:rFonts w:ascii="Book Antiqua" w:hAnsi="Book Antiqua" w:cs="CenturySchoolbook,Italic"/>
          <w:iCs/>
          <w:color w:val="000000"/>
        </w:rPr>
        <w:t xml:space="preserve">, aux élèves réguliers qui ont suivi, en tout ou en partie, l'année complémentaire organisée au troisième degré de la section de qualification et qui ont </w:t>
      </w:r>
      <w:r>
        <w:rPr>
          <w:rFonts w:ascii="Book Antiqua" w:hAnsi="Book Antiqua" w:cs="CenturySchoolbook"/>
          <w:color w:val="000000"/>
        </w:rPr>
        <w:t>satisfait à l'ensemble de la formation de l'année considérée.</w:t>
      </w:r>
    </w:p>
    <w:p>
      <w:pPr>
        <w:suppressAutoHyphens w:val="0"/>
        <w:ind w:left="1069"/>
        <w:jc w:val="both"/>
        <w:rPr>
          <w:rFonts w:ascii="Book Antiqua" w:hAnsi="Book Antiqua" w:cs="CenturySchoolbook"/>
          <w:color w:val="000000"/>
          <w:u w:val="dash"/>
        </w:rPr>
      </w:pPr>
    </w:p>
    <w:p>
      <w:pPr>
        <w:numPr>
          <w:ilvl w:val="0"/>
          <w:numId w:val="51"/>
        </w:numPr>
        <w:tabs>
          <w:tab w:val="clear" w:pos="720"/>
          <w:tab w:val="num" w:pos="1069"/>
        </w:tabs>
        <w:suppressAutoHyphens w:val="0"/>
        <w:ind w:left="1069"/>
        <w:jc w:val="both"/>
        <w:rPr>
          <w:rFonts w:ascii="Book Antiqua" w:hAnsi="Book Antiqua" w:cs="CenturySchoolbook"/>
          <w:color w:val="000000"/>
          <w:u w:val="dash"/>
        </w:rPr>
      </w:pPr>
      <w:r>
        <w:rPr>
          <w:rFonts w:ascii="Book Antiqua" w:hAnsi="Book Antiqua" w:cs="CenturySchoolbook"/>
          <w:color w:val="000000"/>
          <w:u w:val="dash"/>
        </w:rPr>
        <w:t>Certificat d’étude</w:t>
      </w:r>
    </w:p>
    <w:p>
      <w:pPr>
        <w:ind w:left="709"/>
        <w:rPr>
          <w:rFonts w:cs="CenturySchoolbook,Italic"/>
          <w:iCs/>
          <w:color w:val="000000"/>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
          <w:color w:val="000000"/>
        </w:rPr>
        <w:lastRenderedPageBreak/>
        <w:t xml:space="preserve">Dans le régime de la CPU, le certificat d'études de sixième année de l'enseignement secondaire professionnel (CE6P) est délivré, par le Conseil de classe, aux élèves réguliers qui, ayant suivi une sixième année de l'enseignement secondaire professionnel, </w:t>
      </w:r>
      <w:r>
        <w:rPr>
          <w:rFonts w:ascii="Book Antiqua" w:hAnsi="Book Antiqua" w:cs="CenturySchoolbook"/>
          <w:color w:val="000000"/>
          <w:u w:val="single"/>
        </w:rPr>
        <w:t>ont satisfait à l'ensemble de la formation des cinquième et sixième années</w:t>
      </w:r>
      <w:r>
        <w:rPr>
          <w:rFonts w:ascii="Book Antiqua" w:hAnsi="Book Antiqua" w:cs="CenturySchoolbook"/>
          <w:color w:val="000000"/>
        </w:rPr>
        <w:t>.</w:t>
      </w:r>
    </w:p>
    <w:p>
      <w:pPr>
        <w:autoSpaceDE w:val="0"/>
        <w:autoSpaceDN w:val="0"/>
        <w:adjustRightInd w:val="0"/>
        <w:ind w:left="709"/>
        <w:jc w:val="both"/>
        <w:rPr>
          <w:rFonts w:ascii="Book Antiqua" w:hAnsi="Book Antiqua" w:cs="CenturySchoolbook"/>
          <w:color w:val="000000"/>
        </w:rPr>
      </w:pPr>
    </w:p>
    <w:p>
      <w:pPr>
        <w:ind w:left="709"/>
        <w:jc w:val="both"/>
        <w:rPr>
          <w:rFonts w:ascii="Book Antiqua" w:hAnsi="Book Antiqua" w:cs="CenturySchoolbook"/>
          <w:b/>
          <w:color w:val="000000"/>
        </w:rPr>
      </w:pPr>
    </w:p>
    <w:p>
      <w:pPr>
        <w:ind w:left="709"/>
        <w:jc w:val="both"/>
        <w:rPr>
          <w:rFonts w:ascii="Book Antiqua" w:hAnsi="Book Antiqua" w:cs="CenturySchoolbook"/>
          <w:b/>
          <w:color w:val="000000"/>
        </w:rPr>
      </w:pPr>
      <w:r>
        <w:rPr>
          <w:rFonts w:ascii="Book Antiqua" w:hAnsi="Book Antiqua" w:cs="CenturySchoolbook"/>
          <w:b/>
          <w:color w:val="000000"/>
        </w:rPr>
        <w:t>Remarque pour les élèves inscrits en C3D :</w:t>
      </w:r>
    </w:p>
    <w:p>
      <w:pPr>
        <w:autoSpaceDE w:val="0"/>
        <w:autoSpaceDN w:val="0"/>
        <w:adjustRightInd w:val="0"/>
        <w:ind w:left="709"/>
        <w:jc w:val="both"/>
        <w:rPr>
          <w:rFonts w:ascii="Book Antiqua" w:hAnsi="Book Antiqua" w:cs="CenturySchoolbook"/>
          <w:b/>
          <w:color w:val="000000"/>
        </w:rPr>
      </w:pPr>
    </w:p>
    <w:p>
      <w:pPr>
        <w:autoSpaceDE w:val="0"/>
        <w:autoSpaceDN w:val="0"/>
        <w:adjustRightInd w:val="0"/>
        <w:ind w:left="709"/>
        <w:jc w:val="both"/>
        <w:rPr>
          <w:rFonts w:cs="CenturySchoolbook,Italic"/>
          <w:iCs/>
          <w:color w:val="000000"/>
          <w:u w:val="dash"/>
        </w:rPr>
      </w:pPr>
      <w:r>
        <w:rPr>
          <w:rFonts w:ascii="Book Antiqua" w:hAnsi="Book Antiqua" w:cs="CenturySchoolbook"/>
          <w:color w:val="000000"/>
        </w:rPr>
        <w:t xml:space="preserve">Dans le régime de la CPU, le certificat d'études de sixième année de l'enseignement secondaire professionnel est délivré, </w:t>
      </w:r>
      <w:r>
        <w:rPr>
          <w:rFonts w:ascii="Book Antiqua" w:hAnsi="Book Antiqua" w:cs="CenturySchoolbook"/>
          <w:b/>
          <w:color w:val="000000"/>
        </w:rPr>
        <w:t>quel que soit le moment de l'année scolaire</w:t>
      </w:r>
      <w:r>
        <w:rPr>
          <w:rFonts w:ascii="Book Antiqua" w:hAnsi="Book Antiqua" w:cs="CenturySchoolbook"/>
          <w:color w:val="000000"/>
        </w:rPr>
        <w:t>, aux élèves réguliers qui ont suivi, en tout ou en partie, l'année complémentaire au troisième degré de la section de qualification (C3D).</w:t>
      </w:r>
    </w:p>
    <w:p>
      <w:pPr>
        <w:tabs>
          <w:tab w:val="num" w:pos="360"/>
        </w:tabs>
        <w:ind w:left="1069"/>
        <w:rPr>
          <w:rFonts w:cs="CenturySchoolbook,Italic"/>
          <w:iCs/>
          <w:color w:val="000000"/>
          <w:u w:val="dash"/>
        </w:rPr>
      </w:pPr>
    </w:p>
    <w:p>
      <w:pPr>
        <w:numPr>
          <w:ilvl w:val="0"/>
          <w:numId w:val="51"/>
        </w:numPr>
        <w:tabs>
          <w:tab w:val="clear" w:pos="720"/>
          <w:tab w:val="num" w:pos="1069"/>
        </w:tabs>
        <w:suppressAutoHyphens w:val="0"/>
        <w:ind w:left="1069"/>
        <w:jc w:val="both"/>
        <w:rPr>
          <w:rFonts w:ascii="Book Antiqua" w:hAnsi="Book Antiqua" w:cs="CenturySchoolbook"/>
          <w:color w:val="000000"/>
          <w:u w:val="dash"/>
        </w:rPr>
      </w:pPr>
      <w:r>
        <w:rPr>
          <w:rFonts w:ascii="Book Antiqua" w:hAnsi="Book Antiqua" w:cs="CenturySchoolbook"/>
          <w:color w:val="000000"/>
          <w:u w:val="dash"/>
        </w:rPr>
        <w:t>Certificat de qualification</w:t>
      </w:r>
    </w:p>
    <w:p>
      <w:pPr>
        <w:ind w:left="70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Chaque épreuve de validation d’une unité d’acquis d’apprentissage est assimilée à une épreuve de qualification.</w:t>
      </w:r>
    </w:p>
    <w:p>
      <w:pPr>
        <w:ind w:left="709"/>
        <w:jc w:val="both"/>
        <w:rPr>
          <w:rFonts w:ascii="Book Antiqua" w:hAnsi="Book Antiqua" w:cs="CenturySchoolbook,Italic"/>
          <w:iCs/>
          <w:color w:val="000000"/>
          <w:u w:val="dash"/>
        </w:rPr>
      </w:pPr>
    </w:p>
    <w:p>
      <w:pPr>
        <w:ind w:left="709"/>
        <w:jc w:val="both"/>
        <w:rPr>
          <w:rFonts w:ascii="Book Antiqua" w:hAnsi="Book Antiqua" w:cs="CenturySchoolbook"/>
          <w:color w:val="000000"/>
        </w:rPr>
      </w:pPr>
      <w:r>
        <w:rPr>
          <w:rFonts w:ascii="Book Antiqua" w:hAnsi="Book Antiqua" w:cs="CenturySchoolbook"/>
          <w:color w:val="000000"/>
        </w:rPr>
        <w:t xml:space="preserve">Après chacune des épreuves de qualification destinées à valider les acquis d’apprentissage par le Jury de qualification ou s’il </w:t>
      </w:r>
      <w:proofErr w:type="spellStart"/>
      <w:r>
        <w:rPr>
          <w:rFonts w:ascii="Book Antiqua" w:hAnsi="Book Antiqua" w:cs="CenturySchoolbook"/>
          <w:color w:val="000000"/>
        </w:rPr>
        <w:t>échet</w:t>
      </w:r>
      <w:proofErr w:type="spellEnd"/>
      <w:r>
        <w:rPr>
          <w:rFonts w:ascii="Book Antiqua" w:hAnsi="Book Antiqua" w:cs="CenturySchoolbook"/>
          <w:color w:val="000000"/>
        </w:rPr>
        <w:t xml:space="preserve"> par sa délégation, chaque élève doit recevoir son attestation de validation de l’unité concernée.</w:t>
      </w:r>
    </w:p>
    <w:p>
      <w:pPr>
        <w:ind w:left="106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 xml:space="preserve">Chaque attestation de validation d’une unité d’acquis d’apprentissage est collectionnée graduellement dans le « Passeport CPU-EUROPASS », intégré dans le dossier scolaire de chaque élève. Pour plus d’information concernant le « Passeport CPU-EUROPASS », se référer à la circulaire n°4539 du 06/09/2013. </w:t>
      </w:r>
    </w:p>
    <w:p>
      <w:pPr>
        <w:ind w:left="1069"/>
        <w:jc w:val="both"/>
        <w:rPr>
          <w:rFonts w:ascii="Book Antiqua" w:hAnsi="Book Antiqua" w:cs="CenturySchoolbook"/>
          <w:color w:val="000000"/>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
          <w:color w:val="000000"/>
        </w:rPr>
        <w:t>Le certificat de qualification est délivré aux élèves qui maîtrisent les acquis d'apprentissage fixés par un des profils de certification.</w:t>
      </w:r>
    </w:p>
    <w:p>
      <w:pPr>
        <w:autoSpaceDE w:val="0"/>
        <w:autoSpaceDN w:val="0"/>
        <w:adjustRightInd w:val="0"/>
        <w:ind w:left="709"/>
        <w:jc w:val="both"/>
        <w:rPr>
          <w:rFonts w:ascii="Book Antiqua" w:hAnsi="Book Antiqua" w:cs="CenturySchoolbook"/>
          <w:color w:val="000000"/>
        </w:rPr>
      </w:pPr>
    </w:p>
    <w:p>
      <w:pPr>
        <w:ind w:left="709"/>
        <w:jc w:val="both"/>
        <w:rPr>
          <w:rFonts w:ascii="Book Antiqua" w:hAnsi="Book Antiqua" w:cs="CenturySchoolbook"/>
          <w:b/>
          <w:color w:val="000000"/>
        </w:rPr>
      </w:pPr>
      <w:r>
        <w:rPr>
          <w:rFonts w:ascii="Book Antiqua" w:hAnsi="Book Antiqua" w:cs="CenturySchoolbook"/>
          <w:b/>
          <w:color w:val="000000"/>
        </w:rPr>
        <w:t>Remarque pour les élèves inscrits en C3D:</w:t>
      </w:r>
    </w:p>
    <w:p>
      <w:pPr>
        <w:autoSpaceDE w:val="0"/>
        <w:autoSpaceDN w:val="0"/>
        <w:adjustRightInd w:val="0"/>
        <w:ind w:left="709"/>
        <w:jc w:val="both"/>
        <w:rPr>
          <w:rFonts w:ascii="Book Antiqua" w:hAnsi="Book Antiqua" w:cs="CenturySchoolbook"/>
          <w:color w:val="000000"/>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
          <w:color w:val="000000"/>
        </w:rPr>
        <w:t xml:space="preserve">Le certificat de qualification de sixième est délivré, </w:t>
      </w:r>
      <w:r>
        <w:rPr>
          <w:rFonts w:ascii="Book Antiqua" w:hAnsi="Book Antiqua" w:cs="CenturySchoolbook"/>
          <w:b/>
          <w:color w:val="000000"/>
        </w:rPr>
        <w:t>quel que soit le moment de l'année scolaire</w:t>
      </w:r>
      <w:r>
        <w:rPr>
          <w:rFonts w:ascii="Book Antiqua" w:hAnsi="Book Antiqua" w:cs="CenturySchoolbook"/>
          <w:color w:val="000000"/>
        </w:rPr>
        <w:t>, aux élèves réguliers qui ont fréquenté l'année complémentaire au troisième degré de la section de qualification (C3D) et qui ont subi avec succès les épreuves liées à l'obtention du certificat de qualification, dénommées ci-après les épreuves de qualification.</w:t>
      </w:r>
    </w:p>
    <w:p>
      <w:pPr>
        <w:autoSpaceDE w:val="0"/>
        <w:autoSpaceDN w:val="0"/>
        <w:adjustRightInd w:val="0"/>
        <w:ind w:left="709"/>
        <w:jc w:val="both"/>
        <w:rPr>
          <w:rFonts w:ascii="Book Antiqua" w:hAnsi="Book Antiqua" w:cs="CenturySchoolbook,Italic"/>
          <w:b/>
          <w:iCs/>
          <w:color w:val="000000"/>
        </w:rPr>
      </w:pPr>
    </w:p>
    <w:p>
      <w:pPr>
        <w:tabs>
          <w:tab w:val="num" w:pos="360"/>
        </w:tabs>
        <w:ind w:left="709"/>
        <w:jc w:val="both"/>
        <w:rPr>
          <w:rFonts w:ascii="Book Antiqua" w:hAnsi="Book Antiqua"/>
          <w:color w:val="000000"/>
        </w:rPr>
      </w:pPr>
    </w:p>
    <w:p>
      <w:pPr>
        <w:tabs>
          <w:tab w:val="num" w:pos="360"/>
        </w:tabs>
        <w:ind w:left="1069" w:hanging="360"/>
        <w:jc w:val="both"/>
        <w:rPr>
          <w:rFonts w:ascii="Book Antiqua" w:hAnsi="Book Antiqua"/>
          <w:b/>
          <w:color w:val="000000"/>
          <w:bdr w:val="single" w:sz="4" w:space="0" w:color="auto"/>
          <w:lang w:val="fr-BE"/>
        </w:rPr>
      </w:pPr>
      <w:r>
        <w:rPr>
          <w:rFonts w:ascii="Book Antiqua" w:hAnsi="Book Antiqua"/>
          <w:b/>
          <w:color w:val="000000"/>
          <w:bdr w:val="single" w:sz="4" w:space="0" w:color="auto"/>
          <w:lang w:val="fr-BE"/>
        </w:rPr>
        <w:t>Mesure dérogatoire</w:t>
      </w:r>
    </w:p>
    <w:p>
      <w:pPr>
        <w:tabs>
          <w:tab w:val="num" w:pos="360"/>
        </w:tabs>
        <w:ind w:left="1069"/>
        <w:jc w:val="both"/>
        <w:rPr>
          <w:rFonts w:ascii="Book Antiqua" w:hAnsi="Book Antiqua"/>
          <w:b/>
          <w:color w:val="000000"/>
          <w:lang w:val="fr-BE"/>
        </w:rPr>
      </w:pPr>
    </w:p>
    <w:p>
      <w:pPr>
        <w:tabs>
          <w:tab w:val="num" w:pos="0"/>
        </w:tabs>
        <w:ind w:left="709"/>
        <w:jc w:val="both"/>
        <w:rPr>
          <w:rFonts w:ascii="Book Antiqua" w:hAnsi="Book Antiqua"/>
          <w:b/>
          <w:color w:val="000000"/>
          <w:lang w:val="fr-BE"/>
        </w:rPr>
      </w:pPr>
      <w:r>
        <w:rPr>
          <w:rFonts w:ascii="Book Antiqua" w:hAnsi="Book Antiqua"/>
          <w:b/>
          <w:color w:val="000000"/>
          <w:lang w:val="fr-BE"/>
        </w:rPr>
        <w:t xml:space="preserve">Doublement d’une année d’études formation « article 49 » </w:t>
      </w:r>
      <w:r>
        <w:rPr>
          <w:rFonts w:ascii="Book Antiqua" w:hAnsi="Book Antiqua" w:cs="CenturySchoolbook,Italic"/>
          <w:b/>
          <w:iCs/>
          <w:color w:val="000000"/>
        </w:rPr>
        <w:t>(article 58 § 4 de l’arrêté royal du 29 juin 1984 relative à l’organisation de l’enseignement secondaire)</w:t>
      </w:r>
      <w:r>
        <w:rPr>
          <w:rStyle w:val="Marquedecommentaire"/>
        </w:rPr>
        <w:t xml:space="preserve"> </w:t>
      </w:r>
    </w:p>
    <w:p>
      <w:pPr>
        <w:tabs>
          <w:tab w:val="num" w:pos="360"/>
        </w:tabs>
        <w:ind w:left="1069"/>
        <w:jc w:val="both"/>
        <w:rPr>
          <w:rFonts w:ascii="Book Antiqua" w:hAnsi="Book Antiqua"/>
          <w:b/>
          <w:color w:val="000000"/>
          <w:lang w:val="fr-BE"/>
        </w:rPr>
      </w:pPr>
    </w:p>
    <w:p>
      <w:pPr>
        <w:tabs>
          <w:tab w:val="num" w:pos="360"/>
        </w:tabs>
        <w:ind w:left="1069"/>
        <w:jc w:val="both"/>
        <w:rPr>
          <w:rFonts w:ascii="Book Antiqua" w:hAnsi="Book Antiqua"/>
          <w:b/>
          <w:color w:val="000000"/>
          <w:lang w:val="fr-BE"/>
        </w:rPr>
      </w:pPr>
      <w:r>
        <w:rPr>
          <w:rFonts w:ascii="Book Antiqua" w:hAnsi="Book Antiqua"/>
          <w:b/>
          <w:color w:val="000000"/>
          <w:lang w:val="fr-BE"/>
        </w:rPr>
        <w:t>En 5</w:t>
      </w:r>
      <w:r>
        <w:rPr>
          <w:rFonts w:ascii="Book Antiqua" w:hAnsi="Book Antiqua"/>
          <w:b/>
          <w:color w:val="000000"/>
          <w:vertAlign w:val="superscript"/>
          <w:lang w:val="fr-BE"/>
        </w:rPr>
        <w:t>ème</w:t>
      </w:r>
      <w:r>
        <w:rPr>
          <w:rFonts w:ascii="Book Antiqua" w:hAnsi="Book Antiqua"/>
          <w:b/>
          <w:color w:val="000000"/>
          <w:lang w:val="fr-BE"/>
        </w:rPr>
        <w:t xml:space="preserve"> année </w:t>
      </w:r>
    </w:p>
    <w:p>
      <w:pPr>
        <w:tabs>
          <w:tab w:val="num" w:pos="360"/>
        </w:tabs>
        <w:ind w:left="1069"/>
        <w:jc w:val="both"/>
        <w:rPr>
          <w:rFonts w:ascii="Book Antiqua" w:hAnsi="Book Antiqua"/>
          <w:b/>
          <w:color w:val="000000"/>
          <w:lang w:val="fr-BE"/>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 xml:space="preserve">Dans le cas où le conseil de classe - au vu des éléments repris dans le dossier d'apprentissage CPU et dans le rapport de compétences CPU - estime que l'élève régulier qui a suivi une cinquième année est dans l'incapacité de combler ses lacunes pour obtenir la validation des unités d'acquis d'apprentissage prévues en sixième année - notamment dans le cas de décrochage scolaire, de longues absences ou de lacunes trop importantes - , </w:t>
      </w:r>
      <w:r>
        <w:rPr>
          <w:rFonts w:ascii="Book Antiqua" w:hAnsi="Book Antiqua" w:cs="CenturySchoolbook,Italic"/>
          <w:iCs/>
          <w:color w:val="000000"/>
          <w:lang w:val="fr-BE"/>
        </w:rPr>
        <w:t>l</w:t>
      </w:r>
      <w:r>
        <w:rPr>
          <w:rFonts w:ascii="Book Antiqua" w:hAnsi="Book Antiqua" w:cs="CenturySchoolbook,Italic"/>
          <w:iCs/>
          <w:color w:val="000000"/>
        </w:rPr>
        <w:t>e ministre ou son délégué peut, à la demande du chef d'établissement, autoriser cet élève - le cas échéant après avoir pris un avis pédagogique du service général de l'inspection - à recommencer la cinquième année.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1135"/>
        <w:jc w:val="both"/>
        <w:rPr>
          <w:rFonts w:ascii="Book Antiqua" w:hAnsi="Book Antiqua" w:cs="CenturySchoolbook,Italic"/>
          <w:b/>
          <w:iCs/>
          <w:color w:val="000000"/>
        </w:rPr>
      </w:pPr>
      <w:r>
        <w:rPr>
          <w:rFonts w:ascii="Book Antiqua" w:hAnsi="Book Antiqua" w:cs="CenturySchoolbook,Italic"/>
          <w:b/>
          <w:iCs/>
          <w:color w:val="000000"/>
        </w:rPr>
        <w:t>En 6</w:t>
      </w:r>
      <w:r>
        <w:rPr>
          <w:rFonts w:ascii="Book Antiqua" w:hAnsi="Book Antiqua" w:cs="CenturySchoolbook,Italic"/>
          <w:b/>
          <w:iCs/>
          <w:color w:val="000000"/>
          <w:vertAlign w:val="superscript"/>
        </w:rPr>
        <w:t>ème</w:t>
      </w:r>
      <w:r>
        <w:rPr>
          <w:rFonts w:ascii="Book Antiqua" w:hAnsi="Book Antiqua" w:cs="CenturySchoolbook,Italic"/>
          <w:b/>
          <w:iCs/>
          <w:color w:val="000000"/>
        </w:rPr>
        <w:t xml:space="preserve"> année - Uniquement pour les formations organisées sur 3 années d’études (5ème, 6ème et 7ème année)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 xml:space="preserve">De même, dans l’éventualité où le conseil de classe - au vu des éléments repris dans le dossier d'apprentissage CPU et dans le rapport de compétences CPU - estime que l'élève régulier qui a suivi </w:t>
      </w:r>
      <w:r>
        <w:rPr>
          <w:rFonts w:ascii="Book Antiqua" w:hAnsi="Book Antiqua" w:cs="CenturySchoolbook,Italic"/>
          <w:iCs/>
          <w:color w:val="000000"/>
        </w:rPr>
        <w:lastRenderedPageBreak/>
        <w:t xml:space="preserve">une sixième année est dans l'incapacité de combler ses lacunes pour obtenir la validation des unités d'acquis d'apprentissage prévues en septième année - notamment dans le cas de décrochage scolaire, de longues absences ou de lacunes trop importantes - , </w:t>
      </w:r>
      <w:r>
        <w:rPr>
          <w:rFonts w:ascii="Book Antiqua" w:hAnsi="Book Antiqua" w:cs="CenturySchoolbook,Italic"/>
          <w:iCs/>
          <w:color w:val="000000"/>
          <w:lang w:val="fr-BE"/>
        </w:rPr>
        <w:t>l</w:t>
      </w:r>
      <w:r>
        <w:rPr>
          <w:rFonts w:ascii="Book Antiqua" w:hAnsi="Book Antiqua" w:cs="CenturySchoolbook,Italic"/>
          <w:iCs/>
          <w:color w:val="000000"/>
        </w:rPr>
        <w:t>e ministre ou son délégué peut, à la demande du chef d'établissement et sur base d’un avis rendu par le conseil de classe  autoriser cet élève - le cas échéant après avoir pris un avis pédagogique du service général de l'inspection - à recommencer la sixième année.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Le chef d’établissement veillera à joindre à la demande le rapport de compétences CPU et le dossier d’apprentissage CPU.</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Les élèves relevant de ces mesures seront considérés comme réguliers dans les années susmentionnées.</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Dérogation relative à l’octroi de dispenses de cours formation « article 49 » (article 58 § 5 de l’arrêté royal du 29 juin 1984 relative à l’organisation de l’enseignement secondaire)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A la demande du chef d’établissement, le ministre ou son délégué peut dispenser les porteurs d’attestations de validation d’unités d’acquis d’apprentissage de certains cours et activités.</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 xml:space="preserve">Seuls les cours de </w:t>
      </w:r>
      <w:r>
        <w:rPr>
          <w:rFonts w:ascii="Book Antiqua" w:hAnsi="Book Antiqua" w:cs="CenturySchoolbook,Italic"/>
          <w:b/>
          <w:iCs/>
          <w:color w:val="000000"/>
        </w:rPr>
        <w:t>l’option de base groupée</w:t>
      </w:r>
      <w:r>
        <w:rPr>
          <w:rFonts w:ascii="Book Antiqua" w:hAnsi="Book Antiqua" w:cs="CenturySchoolbook,Italic"/>
          <w:iCs/>
          <w:color w:val="000000"/>
        </w:rPr>
        <w:t xml:space="preserve"> peuvent être soumis à une dispense de cours, les cours relevant de </w:t>
      </w:r>
      <w:r>
        <w:rPr>
          <w:rFonts w:ascii="Book Antiqua" w:hAnsi="Book Antiqua" w:cs="CenturySchoolbook,Italic"/>
          <w:b/>
          <w:iCs/>
          <w:color w:val="000000"/>
        </w:rPr>
        <w:t>la formation commune ou des activités complémentaires</w:t>
      </w:r>
      <w:r>
        <w:rPr>
          <w:rFonts w:ascii="Book Antiqua" w:hAnsi="Book Antiqua" w:cs="CenturySchoolbook,Italic"/>
          <w:iCs/>
          <w:color w:val="000000"/>
        </w:rPr>
        <w:t xml:space="preserve"> ne peuvent faire l’objet d’une telle dispense.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Les chefs d’établissement introduiront leurs demandes auprès du Service de la sanction des études :</w:t>
      </w:r>
    </w:p>
    <w:p>
      <w:pPr>
        <w:tabs>
          <w:tab w:val="num" w:pos="360"/>
        </w:tabs>
        <w:rPr>
          <w:color w:val="000000"/>
          <w:lang w:val="fr-BE"/>
        </w:rPr>
      </w:pPr>
    </w:p>
    <w:p>
      <w:pPr>
        <w:suppressAutoHyphens w:val="0"/>
        <w:autoSpaceDE w:val="0"/>
        <w:autoSpaceDN w:val="0"/>
        <w:adjustRightInd w:val="0"/>
        <w:jc w:val="center"/>
        <w:rPr>
          <w:rFonts w:ascii="Book Antiqua" w:hAnsi="Book Antiqua" w:cs="Calibri"/>
          <w:color w:val="000000"/>
          <w:sz w:val="22"/>
          <w:szCs w:val="22"/>
          <w:lang w:eastAsia="fr-FR"/>
        </w:rPr>
      </w:pPr>
      <w:r>
        <w:rPr>
          <w:rFonts w:ascii="Book Antiqua" w:hAnsi="Book Antiqua" w:cs="Calibri"/>
          <w:b/>
          <w:bCs/>
          <w:color w:val="000000"/>
          <w:sz w:val="22"/>
          <w:szCs w:val="22"/>
          <w:lang w:eastAsia="fr-FR"/>
        </w:rPr>
        <w:t>D.G.E.O,</w:t>
      </w:r>
    </w:p>
    <w:p>
      <w:pPr>
        <w:suppressAutoHyphens w:val="0"/>
        <w:autoSpaceDE w:val="0"/>
        <w:autoSpaceDN w:val="0"/>
        <w:adjustRightInd w:val="0"/>
        <w:jc w:val="center"/>
        <w:rPr>
          <w:rFonts w:ascii="Book Antiqua" w:hAnsi="Book Antiqua" w:cs="Calibri"/>
          <w:color w:val="000000"/>
          <w:sz w:val="22"/>
          <w:szCs w:val="22"/>
          <w:lang w:eastAsia="fr-FR"/>
        </w:rPr>
      </w:pPr>
      <w:r>
        <w:rPr>
          <w:rFonts w:ascii="Book Antiqua" w:hAnsi="Book Antiqua" w:cs="Calibri"/>
          <w:b/>
          <w:bCs/>
          <w:color w:val="000000"/>
          <w:sz w:val="22"/>
          <w:szCs w:val="22"/>
          <w:lang w:eastAsia="fr-FR"/>
        </w:rPr>
        <w:t>Direction des affaires générales, de la Sanction des études et des CPMS,</w:t>
      </w:r>
    </w:p>
    <w:p>
      <w:pPr>
        <w:suppressAutoHyphens w:val="0"/>
        <w:autoSpaceDE w:val="0"/>
        <w:autoSpaceDN w:val="0"/>
        <w:adjustRightInd w:val="0"/>
        <w:jc w:val="center"/>
        <w:rPr>
          <w:rFonts w:ascii="Book Antiqua" w:hAnsi="Book Antiqua" w:cs="Calibri"/>
          <w:color w:val="000000"/>
          <w:sz w:val="22"/>
          <w:szCs w:val="22"/>
          <w:lang w:eastAsia="fr-FR"/>
        </w:rPr>
      </w:pPr>
      <w:r>
        <w:rPr>
          <w:rFonts w:ascii="Book Antiqua" w:hAnsi="Book Antiqua" w:cs="Calibri"/>
          <w:b/>
          <w:bCs/>
          <w:color w:val="000000"/>
          <w:sz w:val="22"/>
          <w:szCs w:val="22"/>
          <w:lang w:eastAsia="fr-FR"/>
        </w:rPr>
        <w:t xml:space="preserve">Bureau </w:t>
      </w:r>
      <w:r>
        <w:rPr>
          <w:rFonts w:ascii="Book Antiqua" w:hAnsi="Book Antiqua" w:cs="Calibri"/>
          <w:b/>
          <w:bCs/>
          <w:color w:val="000000"/>
          <w:sz w:val="22"/>
          <w:szCs w:val="22"/>
          <w:u w:val="single"/>
          <w:lang w:eastAsia="fr-FR"/>
        </w:rPr>
        <w:t>1F136</w:t>
      </w:r>
      <w:r>
        <w:rPr>
          <w:rFonts w:ascii="Book Antiqua" w:hAnsi="Book Antiqua" w:cs="Calibri"/>
          <w:b/>
          <w:bCs/>
          <w:color w:val="000000"/>
          <w:sz w:val="22"/>
          <w:szCs w:val="22"/>
          <w:lang w:eastAsia="fr-FR"/>
        </w:rPr>
        <w:t>,</w:t>
      </w:r>
    </w:p>
    <w:p>
      <w:pPr>
        <w:suppressAutoHyphens w:val="0"/>
        <w:autoSpaceDE w:val="0"/>
        <w:autoSpaceDN w:val="0"/>
        <w:adjustRightInd w:val="0"/>
        <w:jc w:val="center"/>
        <w:rPr>
          <w:rFonts w:ascii="Book Antiqua" w:hAnsi="Book Antiqua" w:cs="Calibri"/>
          <w:color w:val="000000"/>
          <w:sz w:val="22"/>
          <w:szCs w:val="22"/>
          <w:lang w:eastAsia="fr-FR"/>
        </w:rPr>
      </w:pPr>
      <w:r>
        <w:rPr>
          <w:rFonts w:ascii="Book Antiqua" w:hAnsi="Book Antiqua" w:cs="Calibri"/>
          <w:b/>
          <w:bCs/>
          <w:color w:val="000000"/>
          <w:sz w:val="22"/>
          <w:szCs w:val="22"/>
          <w:lang w:eastAsia="fr-FR"/>
        </w:rPr>
        <w:t>Rue A. Lavallée, 1</w:t>
      </w:r>
    </w:p>
    <w:p>
      <w:pPr>
        <w:autoSpaceDE w:val="0"/>
        <w:autoSpaceDN w:val="0"/>
        <w:adjustRightInd w:val="0"/>
        <w:jc w:val="center"/>
        <w:rPr>
          <w:rFonts w:ascii="Book Antiqua" w:hAnsi="Book Antiqua" w:cs="CenturySchoolbook,Italic"/>
          <w:iCs/>
          <w:color w:val="000000"/>
        </w:rPr>
      </w:pPr>
      <w:r>
        <w:rPr>
          <w:rFonts w:ascii="Book Antiqua" w:hAnsi="Book Antiqua" w:cs="Calibri"/>
          <w:b/>
          <w:bCs/>
          <w:color w:val="000000"/>
          <w:sz w:val="22"/>
          <w:szCs w:val="22"/>
          <w:lang w:eastAsia="fr-FR"/>
        </w:rPr>
        <w:t>1080 Bruxelles</w:t>
      </w: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pStyle w:val="Titre3"/>
        <w:numPr>
          <w:ilvl w:val="0"/>
          <w:numId w:val="53"/>
        </w:numPr>
        <w:tabs>
          <w:tab w:val="clear" w:pos="720"/>
          <w:tab w:val="clear" w:pos="6521"/>
        </w:tabs>
        <w:ind w:left="0"/>
        <w:rPr>
          <w:rStyle w:val="niveau4Car"/>
          <w:b/>
          <w:bCs/>
        </w:rPr>
      </w:pPr>
      <w:r>
        <w:rPr>
          <w:rStyle w:val="niveau4Car"/>
        </w:rPr>
        <w:t xml:space="preserve">Formations organisées </w:t>
      </w:r>
      <w:r>
        <w:rPr>
          <w:rStyle w:val="niveau4Car"/>
          <w:b/>
        </w:rPr>
        <w:t>uniquement</w:t>
      </w:r>
      <w:r>
        <w:rPr>
          <w:rStyle w:val="niveau4Car"/>
        </w:rPr>
        <w:t xml:space="preserve"> en CPU depuis le 1/09/2017</w:t>
      </w:r>
      <w:r>
        <w:rPr>
          <w:rStyle w:val="Appelnotedebasdep"/>
          <w:rFonts w:ascii="Book Antiqua" w:hAnsi="Book Antiqua"/>
          <w:b w:val="0"/>
          <w:bCs w:val="0"/>
          <w:sz w:val="20"/>
          <w:szCs w:val="20"/>
          <w:u w:val="single"/>
          <w:lang w:val="fr-BE"/>
        </w:rPr>
        <w:footnoteReference w:id="135"/>
      </w:r>
    </w:p>
    <w:p>
      <w:pPr>
        <w:pStyle w:val="Titre3"/>
        <w:tabs>
          <w:tab w:val="clear" w:pos="720"/>
          <w:tab w:val="clear" w:pos="6521"/>
        </w:tabs>
        <w:rPr>
          <w:color w:val="000000"/>
          <w:lang w:val="fr-BE"/>
        </w:rPr>
      </w:pPr>
    </w:p>
    <w:tbl>
      <w:tblPr>
        <w:tblStyle w:val="Grilledutableau"/>
        <w:tblW w:w="0" w:type="auto"/>
        <w:tblLook w:val="04A0" w:firstRow="1" w:lastRow="0" w:firstColumn="1" w:lastColumn="0" w:noHBand="0" w:noVBand="1"/>
      </w:tblPr>
      <w:tblGrid>
        <w:gridCol w:w="894"/>
        <w:gridCol w:w="4063"/>
        <w:gridCol w:w="4529"/>
      </w:tblGrid>
      <w:tr>
        <w:tc>
          <w:tcPr>
            <w:tcW w:w="9486" w:type="dxa"/>
            <w:gridSpan w:val="3"/>
          </w:tcPr>
          <w:p>
            <w:pPr>
              <w:tabs>
                <w:tab w:val="left" w:pos="-1440"/>
                <w:tab w:val="left" w:pos="-720"/>
                <w:tab w:val="left" w:pos="1418"/>
              </w:tabs>
              <w:spacing w:after="120"/>
              <w:jc w:val="center"/>
              <w:rPr>
                <w:rFonts w:ascii="Book Antiqua" w:hAnsi="Book Antiqua" w:cs="Book Antiqua"/>
                <w:b/>
                <w:bCs/>
                <w:color w:val="000000"/>
                <w:lang w:val="fr-BE"/>
              </w:rPr>
            </w:pPr>
            <w:r>
              <w:rPr>
                <w:rFonts w:ascii="Book Antiqua" w:hAnsi="Book Antiqua" w:cs="Book Antiqua"/>
                <w:b/>
                <w:bCs/>
                <w:color w:val="000000"/>
                <w:lang w:val="fr-BE"/>
              </w:rPr>
              <w:t>Formations « Article 45 »</w:t>
            </w:r>
          </w:p>
        </w:tc>
      </w:tr>
      <w:tr>
        <w:tc>
          <w:tcPr>
            <w:tcW w:w="894"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Secteur</w:t>
            </w:r>
          </w:p>
        </w:tc>
        <w:tc>
          <w:tcPr>
            <w:tcW w:w="4063"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Intitulé de l’OBG (CPU)</w:t>
            </w:r>
          </w:p>
        </w:tc>
        <w:tc>
          <w:tcPr>
            <w:tcW w:w="4529"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Ancien intitulé (CCPQ)</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1</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Jardinier/Jardinière d’entretien</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l’  « Ouvrier jardinier/Ouvrière jardinière</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1</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Jardinier/Jardinière d’aménagement</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Nouvelle option</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2</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Opérateur/Opératrice de production en industrie alimentaire (OPIA)</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Nouvelle option</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3</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Carreleur/Carreleuse</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l’ « Ouvrier carreleur / Ouvrière carreleuse</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3</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Chapiste</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 Chapiste »</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4</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Garçon / Serveuse de restaurant</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Nouvelle option</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4</w:t>
            </w:r>
          </w:p>
        </w:tc>
        <w:tc>
          <w:tcPr>
            <w:tcW w:w="4063" w:type="dxa"/>
          </w:tcPr>
          <w:p>
            <w:pPr>
              <w:tabs>
                <w:tab w:val="left" w:pos="-1440"/>
                <w:tab w:val="left" w:pos="-720"/>
                <w:tab w:val="left" w:pos="1418"/>
              </w:tabs>
              <w:spacing w:after="120"/>
              <w:jc w:val="both"/>
              <w:rPr>
                <w:rFonts w:ascii="Book Antiqua" w:hAnsi="Book Antiqua" w:cs="Book Antiqua"/>
                <w:bCs/>
                <w:color w:val="000000"/>
                <w:lang w:val="fr-BE"/>
              </w:rPr>
            </w:pPr>
            <w:r>
              <w:rPr>
                <w:rFonts w:ascii="Book Antiqua" w:hAnsi="Book Antiqua" w:cs="Book Antiqua"/>
                <w:bCs/>
                <w:color w:val="000000"/>
                <w:lang w:val="fr-BE"/>
              </w:rPr>
              <w:t>Agent / Agente de fabrication du secteur alimentaire (AFA)</w:t>
            </w:r>
          </w:p>
        </w:tc>
        <w:tc>
          <w:tcPr>
            <w:tcW w:w="4529" w:type="dxa"/>
          </w:tcPr>
          <w:p>
            <w:pPr>
              <w:tabs>
                <w:tab w:val="left" w:pos="-1440"/>
                <w:tab w:val="left" w:pos="-720"/>
                <w:tab w:val="left" w:pos="1418"/>
              </w:tabs>
              <w:spacing w:after="120"/>
              <w:jc w:val="both"/>
              <w:rPr>
                <w:rFonts w:ascii="Book Antiqua" w:hAnsi="Book Antiqua" w:cs="Book Antiqua"/>
                <w:bCs/>
                <w:color w:val="000000"/>
                <w:lang w:val="fr-BE"/>
              </w:rPr>
            </w:pPr>
            <w:r>
              <w:rPr>
                <w:rFonts w:ascii="Book Antiqua" w:hAnsi="Book Antiqua" w:cs="Book Antiqua"/>
                <w:bCs/>
                <w:color w:val="000000"/>
                <w:lang w:val="fr-BE"/>
              </w:rPr>
              <w:t>Nouvelle option</w:t>
            </w:r>
          </w:p>
        </w:tc>
      </w:tr>
    </w:tbl>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r>
        <w:rPr>
          <w:rFonts w:ascii="Book Antiqua" w:hAnsi="Book Antiqua" w:cs="Book Antiqua"/>
          <w:bCs/>
          <w:color w:val="000000"/>
          <w:lang w:val="fr-BE"/>
        </w:rPr>
        <w:t>Depuis l’année scolaire 2017-2018, aucun élève ne peut être inscrit dans les formations « article 45 » qui font l’objet des transformations visées ci-avant.  Ces formations peuvent toutefois perdurer jusqu’à la délivrance du Certification de qualification spécifique aux élèves qui y étaient inscrits avant le 30 juin 2017.</w:t>
      </w:r>
    </w:p>
    <w:p>
      <w:pPr>
        <w:tabs>
          <w:tab w:val="left" w:pos="-1440"/>
          <w:tab w:val="left" w:pos="-720"/>
          <w:tab w:val="left" w:pos="1418"/>
        </w:tabs>
        <w:spacing w:after="120"/>
        <w:jc w:val="both"/>
        <w:rPr>
          <w:rFonts w:ascii="Book Antiqua" w:hAnsi="Book Antiqua" w:cs="Book Antiqua"/>
          <w:bCs/>
          <w:color w:val="000000"/>
          <w:lang w:val="fr-BE"/>
        </w:rPr>
      </w:pPr>
    </w:p>
    <w:tbl>
      <w:tblPr>
        <w:tblStyle w:val="Grilledutableau"/>
        <w:tblW w:w="0" w:type="auto"/>
        <w:tblLook w:val="04A0" w:firstRow="1" w:lastRow="0" w:firstColumn="1" w:lastColumn="0" w:noHBand="0" w:noVBand="1"/>
      </w:tblPr>
      <w:tblGrid>
        <w:gridCol w:w="894"/>
        <w:gridCol w:w="1086"/>
        <w:gridCol w:w="4914"/>
        <w:gridCol w:w="2592"/>
      </w:tblGrid>
      <w:tr>
        <w:tc>
          <w:tcPr>
            <w:tcW w:w="894" w:type="dxa"/>
          </w:tcPr>
          <w:p>
            <w:pPr>
              <w:tabs>
                <w:tab w:val="left" w:pos="-1440"/>
                <w:tab w:val="left" w:pos="-720"/>
                <w:tab w:val="left" w:pos="1418"/>
              </w:tabs>
              <w:spacing w:after="120"/>
              <w:jc w:val="center"/>
              <w:rPr>
                <w:rFonts w:ascii="Book Antiqua" w:hAnsi="Book Antiqua" w:cs="Book Antiqua"/>
                <w:b/>
                <w:bCs/>
                <w:color w:val="000000"/>
                <w:lang w:val="fr-BE"/>
              </w:rPr>
            </w:pPr>
          </w:p>
        </w:tc>
        <w:tc>
          <w:tcPr>
            <w:tcW w:w="8592" w:type="dxa"/>
            <w:gridSpan w:val="3"/>
          </w:tcPr>
          <w:p>
            <w:pPr>
              <w:tabs>
                <w:tab w:val="left" w:pos="-1440"/>
                <w:tab w:val="left" w:pos="-720"/>
                <w:tab w:val="left" w:pos="1418"/>
              </w:tabs>
              <w:spacing w:after="120"/>
              <w:jc w:val="center"/>
              <w:rPr>
                <w:rFonts w:ascii="Book Antiqua" w:hAnsi="Book Antiqua" w:cs="Book Antiqua"/>
                <w:b/>
                <w:bCs/>
                <w:color w:val="000000"/>
                <w:lang w:val="fr-BE"/>
              </w:rPr>
            </w:pPr>
            <w:r>
              <w:rPr>
                <w:rFonts w:ascii="Book Antiqua" w:hAnsi="Book Antiqua" w:cs="Book Antiqua"/>
                <w:b/>
                <w:bCs/>
                <w:color w:val="000000"/>
                <w:lang w:val="fr-BE"/>
              </w:rPr>
              <w:t>7</w:t>
            </w:r>
            <w:r>
              <w:rPr>
                <w:rFonts w:ascii="Book Antiqua" w:hAnsi="Book Antiqua" w:cs="Book Antiqua"/>
                <w:b/>
                <w:bCs/>
                <w:color w:val="000000"/>
                <w:vertAlign w:val="superscript"/>
                <w:lang w:val="fr-BE"/>
              </w:rPr>
              <w:t>ème</w:t>
            </w:r>
            <w:r>
              <w:rPr>
                <w:rFonts w:ascii="Book Antiqua" w:hAnsi="Book Antiqua" w:cs="Book Antiqua"/>
                <w:b/>
                <w:bCs/>
                <w:color w:val="000000"/>
                <w:lang w:val="fr-BE"/>
              </w:rPr>
              <w:t xml:space="preserve"> années – « Article 49 »</w:t>
            </w:r>
          </w:p>
        </w:tc>
      </w:tr>
      <w:tr>
        <w:tc>
          <w:tcPr>
            <w:tcW w:w="894"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Secteur</w:t>
            </w:r>
          </w:p>
        </w:tc>
        <w:tc>
          <w:tcPr>
            <w:tcW w:w="1086"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Année</w:t>
            </w:r>
          </w:p>
        </w:tc>
        <w:tc>
          <w:tcPr>
            <w:tcW w:w="4914"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Intitulé de l’OBG (CPU)</w:t>
            </w:r>
          </w:p>
        </w:tc>
        <w:tc>
          <w:tcPr>
            <w:tcW w:w="2592"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Ancien intitulé (CCPQ)</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2</w:t>
            </w:r>
          </w:p>
        </w:tc>
        <w:tc>
          <w:tcPr>
            <w:tcW w:w="1086"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7 TQ</w:t>
            </w:r>
          </w:p>
        </w:tc>
        <w:tc>
          <w:tcPr>
            <w:tcW w:w="4914"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Technicien / Technicienne en maintenance et diagnostic automobile</w:t>
            </w:r>
          </w:p>
        </w:tc>
        <w:tc>
          <w:tcPr>
            <w:tcW w:w="2592"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 Technicien / Technicienne en maintenance et diagnostic automobile »</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3</w:t>
            </w:r>
          </w:p>
        </w:tc>
        <w:tc>
          <w:tcPr>
            <w:tcW w:w="1086"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7 P</w:t>
            </w:r>
          </w:p>
        </w:tc>
        <w:tc>
          <w:tcPr>
            <w:tcW w:w="4914"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Charpentier / Charpentière</w:t>
            </w:r>
          </w:p>
        </w:tc>
        <w:tc>
          <w:tcPr>
            <w:tcW w:w="2592"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 Charpentier / Charpentière</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8</w:t>
            </w:r>
          </w:p>
        </w:tc>
        <w:tc>
          <w:tcPr>
            <w:tcW w:w="1086"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7 P</w:t>
            </w:r>
          </w:p>
        </w:tc>
        <w:tc>
          <w:tcPr>
            <w:tcW w:w="4914"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Coiffeur / Coiffeuse Manager</w:t>
            </w:r>
          </w:p>
        </w:tc>
        <w:tc>
          <w:tcPr>
            <w:tcW w:w="2592"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 Patron Coiffeur / Patronne Coiffeuse »</w:t>
            </w:r>
          </w:p>
        </w:tc>
      </w:tr>
    </w:tbl>
    <w:p>
      <w:pPr>
        <w:tabs>
          <w:tab w:val="left" w:pos="-1440"/>
          <w:tab w:val="left" w:pos="-720"/>
          <w:tab w:val="left" w:pos="1418"/>
        </w:tabs>
        <w:spacing w:after="120"/>
        <w:jc w:val="both"/>
        <w:rPr>
          <w:rFonts w:ascii="Book Antiqua" w:hAnsi="Book Antiqua" w:cs="Book Antiqua"/>
          <w:bCs/>
          <w:color w:val="000000"/>
          <w:lang w:val="fr-BE"/>
        </w:rPr>
      </w:pPr>
    </w:p>
    <w:p>
      <w:pPr>
        <w:pStyle w:val="Titre3"/>
        <w:numPr>
          <w:ilvl w:val="0"/>
          <w:numId w:val="53"/>
        </w:numPr>
        <w:tabs>
          <w:tab w:val="clear" w:pos="720"/>
          <w:tab w:val="clear" w:pos="6521"/>
        </w:tabs>
        <w:ind w:left="0"/>
        <w:rPr>
          <w:rStyle w:val="niveau4Car"/>
        </w:rPr>
      </w:pPr>
      <w:r>
        <w:rPr>
          <w:rStyle w:val="niveau4Car"/>
        </w:rPr>
        <w:t>CPU à titre expérimental</w:t>
      </w:r>
    </w:p>
    <w:p>
      <w:pPr>
        <w:tabs>
          <w:tab w:val="left" w:pos="-1440"/>
          <w:tab w:val="left" w:pos="-720"/>
          <w:tab w:val="left" w:pos="1418"/>
        </w:tabs>
        <w:spacing w:after="120"/>
        <w:jc w:val="both"/>
        <w:rPr>
          <w:rFonts w:ascii="Book Antiqua" w:hAnsi="Book Antiqua" w:cs="Book Antiqua"/>
          <w:bCs/>
          <w:color w:val="000000"/>
          <w:lang w:val="fr-BE"/>
        </w:rPr>
      </w:pPr>
      <w:r>
        <w:rPr>
          <w:rFonts w:ascii="Book Antiqua" w:hAnsi="Book Antiqua" w:cs="Book Antiqua"/>
          <w:bCs/>
          <w:color w:val="000000"/>
          <w:lang w:val="fr-BE"/>
        </w:rPr>
        <w:t xml:space="preserve">A partir du 1er septembre 2018 </w:t>
      </w:r>
      <w:r>
        <w:rPr>
          <w:rStyle w:val="Appelnotedebasdep"/>
          <w:rFonts w:ascii="Book Antiqua" w:hAnsi="Book Antiqua"/>
          <w:b/>
          <w:bCs/>
          <w:color w:val="000000"/>
          <w:lang w:val="fr-BE"/>
        </w:rPr>
        <w:footnoteReference w:id="136"/>
      </w:r>
      <w:r>
        <w:rPr>
          <w:rFonts w:ascii="Book Antiqua" w:hAnsi="Book Antiqua" w:cs="Book Antiqua"/>
          <w:bCs/>
          <w:color w:val="000000"/>
          <w:lang w:val="fr-BE"/>
        </w:rPr>
        <w:t>, la certification par unité d’acquis d’apprentissage (CPU) s’organisera dans un dispositif expérimental en vue d’implémenter des options de base groupées dans le régime de la CPU en 4ème, 5ème et 6ème années (et non plus en 5ème et 6ème années ou de la 5ème à la 7ème année) de l’enseignement qualifiant tant en plein exercice qu’en alternance (Voir également circulaire n°6652 du 14/05/2018).</w:t>
      </w:r>
    </w:p>
    <w:tbl>
      <w:tblPr>
        <w:tblW w:w="9479" w:type="dxa"/>
        <w:jc w:val="center"/>
        <w:tblCellMar>
          <w:left w:w="70" w:type="dxa"/>
          <w:right w:w="70" w:type="dxa"/>
        </w:tblCellMar>
        <w:tblLook w:val="04A0" w:firstRow="1" w:lastRow="0" w:firstColumn="1" w:lastColumn="0" w:noHBand="0" w:noVBand="1"/>
      </w:tblPr>
      <w:tblGrid>
        <w:gridCol w:w="3247"/>
        <w:gridCol w:w="859"/>
        <w:gridCol w:w="4394"/>
        <w:gridCol w:w="957"/>
        <w:gridCol w:w="25"/>
      </w:tblGrid>
      <w:tr>
        <w:trPr>
          <w:gridAfter w:val="1"/>
          <w:wAfter w:w="22" w:type="dxa"/>
          <w:trHeight w:val="300"/>
          <w:jc w:val="center"/>
        </w:trPr>
        <w:tc>
          <w:tcPr>
            <w:tcW w:w="41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u w:val="single"/>
              </w:rPr>
            </w:pPr>
            <w:r>
              <w:rPr>
                <w:rFonts w:asciiTheme="minorHAnsi" w:hAnsiTheme="minorHAnsi" w:cstheme="minorHAnsi"/>
                <w:color w:val="000000"/>
                <w:sz w:val="22"/>
                <w:szCs w:val="22"/>
                <w:u w:val="single"/>
              </w:rPr>
              <w:t>OBG qui doivent être organisées en 4</w:t>
            </w:r>
            <w:r>
              <w:rPr>
                <w:rFonts w:asciiTheme="minorHAnsi" w:hAnsiTheme="minorHAnsi" w:cstheme="minorHAnsi"/>
                <w:color w:val="000000"/>
                <w:sz w:val="22"/>
                <w:szCs w:val="22"/>
                <w:u w:val="single"/>
                <w:vertAlign w:val="superscript"/>
              </w:rPr>
              <w:t>ème</w:t>
            </w:r>
            <w:r>
              <w:rPr>
                <w:rFonts w:asciiTheme="minorHAnsi" w:hAnsiTheme="minorHAnsi" w:cstheme="minorHAnsi"/>
                <w:color w:val="000000"/>
                <w:sz w:val="22"/>
                <w:szCs w:val="22"/>
                <w:u w:val="single"/>
              </w:rPr>
              <w:t xml:space="preserve"> année en 2018-2019</w:t>
            </w:r>
          </w:p>
        </w:tc>
        <w:tc>
          <w:tcPr>
            <w:tcW w:w="53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u w:val="single"/>
              </w:rPr>
            </w:pPr>
            <w:r>
              <w:rPr>
                <w:rFonts w:asciiTheme="minorHAnsi" w:hAnsiTheme="minorHAnsi" w:cstheme="minorHAnsi"/>
                <w:color w:val="000000"/>
                <w:sz w:val="22"/>
                <w:szCs w:val="22"/>
                <w:u w:val="single"/>
              </w:rPr>
              <w:t>OBG qui resteront organisées en 5</w:t>
            </w:r>
            <w:r>
              <w:rPr>
                <w:rFonts w:asciiTheme="minorHAnsi" w:hAnsiTheme="minorHAnsi" w:cstheme="minorHAnsi"/>
                <w:color w:val="000000"/>
                <w:sz w:val="22"/>
                <w:szCs w:val="22"/>
                <w:u w:val="single"/>
                <w:vertAlign w:val="superscript"/>
              </w:rPr>
              <w:t>ème</w:t>
            </w:r>
            <w:r>
              <w:rPr>
                <w:rFonts w:asciiTheme="minorHAnsi" w:hAnsiTheme="minorHAnsi" w:cstheme="minorHAnsi"/>
                <w:color w:val="000000"/>
                <w:sz w:val="22"/>
                <w:szCs w:val="22"/>
                <w:u w:val="single"/>
              </w:rPr>
              <w:t xml:space="preserve"> - 6</w:t>
            </w:r>
            <w:r>
              <w:rPr>
                <w:rFonts w:asciiTheme="minorHAnsi" w:hAnsiTheme="minorHAnsi" w:cstheme="minorHAnsi"/>
                <w:color w:val="000000"/>
                <w:sz w:val="22"/>
                <w:szCs w:val="22"/>
                <w:u w:val="single"/>
                <w:vertAlign w:val="superscript"/>
              </w:rPr>
              <w:t>ème</w:t>
            </w:r>
            <w:r>
              <w:rPr>
                <w:rFonts w:asciiTheme="minorHAnsi" w:hAnsiTheme="minorHAnsi" w:cstheme="minorHAnsi"/>
                <w:color w:val="000000"/>
                <w:sz w:val="22"/>
                <w:szCs w:val="22"/>
                <w:u w:val="single"/>
              </w:rPr>
              <w:t xml:space="preserve"> années et</w:t>
            </w:r>
          </w:p>
          <w:p>
            <w:pPr>
              <w:jc w:val="center"/>
              <w:rPr>
                <w:rFonts w:asciiTheme="minorHAnsi" w:hAnsiTheme="minorHAnsi" w:cstheme="minorHAnsi"/>
                <w:color w:val="000000"/>
                <w:sz w:val="22"/>
                <w:szCs w:val="22"/>
                <w:u w:val="single"/>
              </w:rPr>
            </w:pPr>
            <w:r>
              <w:rPr>
                <w:rFonts w:asciiTheme="minorHAnsi" w:hAnsiTheme="minorHAnsi" w:cstheme="minorHAnsi"/>
                <w:color w:val="000000"/>
                <w:sz w:val="22"/>
                <w:szCs w:val="22"/>
                <w:u w:val="single"/>
              </w:rPr>
              <w:t>7</w:t>
            </w:r>
            <w:r>
              <w:rPr>
                <w:rFonts w:asciiTheme="minorHAnsi" w:hAnsiTheme="minorHAnsi" w:cstheme="minorHAnsi"/>
                <w:color w:val="000000"/>
                <w:sz w:val="22"/>
                <w:szCs w:val="22"/>
                <w:u w:val="single"/>
                <w:vertAlign w:val="superscript"/>
              </w:rPr>
              <w:t>ème</w:t>
            </w:r>
            <w:r>
              <w:rPr>
                <w:rFonts w:asciiTheme="minorHAnsi" w:hAnsiTheme="minorHAnsi" w:cstheme="minorHAnsi"/>
                <w:color w:val="000000"/>
                <w:sz w:val="22"/>
                <w:szCs w:val="22"/>
                <w:u w:val="single"/>
              </w:rPr>
              <w:t xml:space="preserve"> année en 2018-2019</w:t>
            </w:r>
          </w:p>
        </w:tc>
      </w:tr>
      <w:tr>
        <w:trPr>
          <w:trHeight w:val="345"/>
          <w:jc w:val="center"/>
        </w:trPr>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b/>
                <w:bCs/>
                <w:color w:val="000000"/>
                <w:sz w:val="22"/>
                <w:szCs w:val="22"/>
              </w:rPr>
            </w:pPr>
            <w:r>
              <w:rPr>
                <w:rFonts w:asciiTheme="minorHAnsi" w:hAnsiTheme="minorHAnsi" w:cstheme="minorHAnsi"/>
                <w:b/>
                <w:bCs/>
                <w:color w:val="000000"/>
                <w:sz w:val="22"/>
                <w:szCs w:val="22"/>
              </w:rPr>
              <w:t>Nouvelle OBG CPU « 4-5-6 »</w:t>
            </w:r>
          </w:p>
        </w:tc>
        <w:tc>
          <w:tcPr>
            <w:tcW w:w="856"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code OBG CPU</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pPr>
              <w:rPr>
                <w:rFonts w:asciiTheme="minorHAnsi" w:hAnsiTheme="minorHAnsi" w:cstheme="minorHAnsi"/>
                <w:b/>
                <w:bCs/>
                <w:color w:val="000000"/>
                <w:sz w:val="22"/>
                <w:szCs w:val="22"/>
              </w:rPr>
            </w:pPr>
            <w:r>
              <w:rPr>
                <w:rFonts w:asciiTheme="minorHAnsi" w:hAnsiTheme="minorHAnsi" w:cstheme="minorHAnsi"/>
                <w:b/>
                <w:bCs/>
                <w:color w:val="000000"/>
                <w:sz w:val="22"/>
                <w:szCs w:val="22"/>
              </w:rPr>
              <w:t>OBG actuelle</w:t>
            </w:r>
          </w:p>
          <w:p>
            <w:pPr>
              <w:rPr>
                <w:rFonts w:asciiTheme="minorHAnsi" w:hAnsiTheme="minorHAnsi" w:cstheme="minorHAnsi"/>
                <w:b/>
                <w:bCs/>
                <w:color w:val="000000"/>
                <w:sz w:val="22"/>
                <w:szCs w:val="22"/>
              </w:rPr>
            </w:pPr>
          </w:p>
        </w:tc>
        <w:tc>
          <w:tcPr>
            <w:tcW w:w="982" w:type="dxa"/>
            <w:gridSpan w:val="2"/>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code OBG actuelle</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Agent / Agente agricole polyvalent / polyvalente (P)</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1118</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Ouvrier qualifié / Ouvrière qualifiée en agriculture (P)</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1108</w:t>
            </w:r>
          </w:p>
        </w:tc>
      </w:tr>
      <w:tr>
        <w:trPr>
          <w:trHeight w:val="660"/>
          <w:jc w:val="center"/>
        </w:trPr>
        <w:tc>
          <w:tcPr>
            <w:tcW w:w="3247" w:type="dxa"/>
            <w:vMerge w:val="restart"/>
            <w:tcBorders>
              <w:top w:val="nil"/>
              <w:left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Installateur électricien / Installatrice électricienne (P)</w:t>
            </w:r>
          </w:p>
          <w:p>
            <w:pP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856" w:type="dxa"/>
            <w:vMerge w:val="restart"/>
            <w:tcBorders>
              <w:top w:val="nil"/>
              <w:left w:val="nil"/>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2115 </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Electricien installateur / Electricienne installatrice en résidentiel (P)</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2112</w:t>
            </w:r>
          </w:p>
        </w:tc>
      </w:tr>
      <w:tr>
        <w:trPr>
          <w:trHeight w:val="345"/>
          <w:jc w:val="center"/>
        </w:trPr>
        <w:tc>
          <w:tcPr>
            <w:tcW w:w="3247" w:type="dxa"/>
            <w:vMerge/>
            <w:tcBorders>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p>
        </w:tc>
        <w:tc>
          <w:tcPr>
            <w:tcW w:w="856" w:type="dxa"/>
            <w:vMerge/>
            <w:tcBorders>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Electricien installateur industriel / Electricienne installatrice industrielle (P)</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2113</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Technicien / Technicienne en systèmes d'usinage (TQ)</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2333</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Technicien / Technicienne en usinage (TQ)</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2328</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Mécanicien polyvalent/ Mécanicienne polyvalente automobile (TQ)</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b/>
                <w:color w:val="FF0000"/>
                <w:sz w:val="22"/>
                <w:szCs w:val="22"/>
              </w:rPr>
            </w:pPr>
            <w:r>
              <w:rPr>
                <w:rFonts w:asciiTheme="minorHAnsi" w:hAnsiTheme="minorHAnsi" w:cstheme="minorHAnsi"/>
                <w:b/>
                <w:sz w:val="22"/>
                <w:szCs w:val="22"/>
              </w:rPr>
              <w:t>2528</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 xml:space="preserve">Mécanicien polyvalent /Mécanicienne polyvalente automobile (TQ) </w:t>
            </w:r>
            <w:r>
              <w:rPr>
                <w:rFonts w:asciiTheme="minorHAnsi" w:hAnsiTheme="minorHAnsi" w:cstheme="minorHAnsi"/>
                <w:b/>
                <w:bCs/>
                <w:color w:val="000000"/>
                <w:sz w:val="22"/>
                <w:szCs w:val="22"/>
              </w:rPr>
              <w:t>(CPU)</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2527</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Mécanicien /Mécanicienne d'entretien automobile (P)</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b/>
                <w:color w:val="FF0000"/>
                <w:sz w:val="22"/>
                <w:szCs w:val="22"/>
              </w:rPr>
            </w:pPr>
            <w:r>
              <w:rPr>
                <w:rFonts w:asciiTheme="minorHAnsi" w:hAnsiTheme="minorHAnsi" w:cstheme="minorHAnsi"/>
                <w:b/>
                <w:sz w:val="22"/>
                <w:szCs w:val="22"/>
              </w:rPr>
              <w:t>2334</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 xml:space="preserve">Mécanicien /Mécanicienne d'entretien automobile (P) </w:t>
            </w:r>
            <w:r>
              <w:rPr>
                <w:rFonts w:asciiTheme="minorHAnsi" w:hAnsiTheme="minorHAnsi" w:cstheme="minorHAnsi"/>
                <w:b/>
                <w:bCs/>
                <w:color w:val="000000"/>
                <w:sz w:val="22"/>
                <w:szCs w:val="22"/>
              </w:rPr>
              <w:t>(CPU)</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2332</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Maçon / Maçonne (P)</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3311</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Ouvrier qualifié / Ouvrière qualifiée en construction-gros œuvre (P)</w:t>
            </w:r>
          </w:p>
          <w:p>
            <w:pPr>
              <w:rPr>
                <w:rFonts w:asciiTheme="minorHAnsi" w:hAnsiTheme="minorHAnsi" w:cstheme="minorHAnsi"/>
                <w:color w:val="000000"/>
                <w:sz w:val="22"/>
                <w:szCs w:val="22"/>
              </w:rPr>
            </w:pPr>
          </w:p>
          <w:p>
            <w:pPr>
              <w:rPr>
                <w:rFonts w:asciiTheme="minorHAnsi" w:hAnsiTheme="minorHAnsi" w:cstheme="minorHAnsi"/>
                <w:color w:val="000000"/>
                <w:sz w:val="22"/>
                <w:szCs w:val="22"/>
              </w:rPr>
            </w:pP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3302</w:t>
            </w:r>
          </w:p>
        </w:tc>
      </w:tr>
      <w:tr>
        <w:trPr>
          <w:trHeight w:val="690"/>
          <w:jc w:val="center"/>
        </w:trPr>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Menuisier d'intérieur et d'extérieur / Menuisière d’intérieur et d’extérieur(P) </w:t>
            </w:r>
          </w:p>
        </w:tc>
        <w:tc>
          <w:tcPr>
            <w:tcW w:w="856"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3135 </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Menuisier /Menuisière (P)</w:t>
            </w:r>
          </w:p>
        </w:tc>
        <w:tc>
          <w:tcPr>
            <w:tcW w:w="982" w:type="dxa"/>
            <w:gridSpan w:val="2"/>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3118</w:t>
            </w:r>
          </w:p>
        </w:tc>
      </w:tr>
      <w:tr>
        <w:trPr>
          <w:trHeight w:val="345"/>
          <w:jc w:val="center"/>
        </w:trPr>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Monteur / Monteuse en chauffage et en sanitaire  (P)</w:t>
            </w:r>
          </w:p>
        </w:tc>
        <w:tc>
          <w:tcPr>
            <w:tcW w:w="856"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b/>
                <w:color w:val="000000"/>
                <w:sz w:val="22"/>
                <w:szCs w:val="22"/>
              </w:rPr>
            </w:pPr>
            <w:r>
              <w:rPr>
                <w:rFonts w:asciiTheme="minorHAnsi" w:hAnsiTheme="minorHAnsi" w:cstheme="minorHAnsi"/>
                <w:b/>
                <w:sz w:val="22"/>
                <w:szCs w:val="22"/>
              </w:rPr>
              <w:t>3429</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Monteur / Monteuse en sanitaire et en chauffage (P)</w:t>
            </w:r>
          </w:p>
        </w:tc>
        <w:tc>
          <w:tcPr>
            <w:tcW w:w="982" w:type="dxa"/>
            <w:gridSpan w:val="2"/>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3423</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Couvreur-Etancheur / Couvreuse-Etancheuse (P)</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b/>
                <w:color w:val="FF0000"/>
                <w:sz w:val="22"/>
                <w:szCs w:val="22"/>
              </w:rPr>
            </w:pPr>
            <w:r>
              <w:rPr>
                <w:rFonts w:asciiTheme="minorHAnsi" w:hAnsiTheme="minorHAnsi" w:cstheme="minorHAnsi"/>
                <w:b/>
                <w:sz w:val="22"/>
                <w:szCs w:val="22"/>
              </w:rPr>
              <w:t>3230</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 xml:space="preserve">Couvreur-Etancheur / Couvreuse-Etancheuse (P) </w:t>
            </w:r>
            <w:r>
              <w:rPr>
                <w:rFonts w:asciiTheme="minorHAnsi" w:hAnsiTheme="minorHAnsi" w:cstheme="minorHAnsi"/>
                <w:b/>
                <w:bCs/>
                <w:color w:val="000000"/>
                <w:sz w:val="22"/>
                <w:szCs w:val="22"/>
              </w:rPr>
              <w:t>(CPU)</w:t>
            </w:r>
          </w:p>
        </w:tc>
        <w:tc>
          <w:tcPr>
            <w:tcW w:w="982" w:type="dxa"/>
            <w:gridSpan w:val="2"/>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3229</w:t>
            </w:r>
          </w:p>
        </w:tc>
      </w:tr>
      <w:tr>
        <w:trPr>
          <w:trHeight w:val="700"/>
          <w:jc w:val="center"/>
        </w:trPr>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Carreleur / Carreleuse –Chapiste (P) </w:t>
            </w:r>
          </w:p>
        </w:tc>
        <w:tc>
          <w:tcPr>
            <w:tcW w:w="856"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3521 </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Carreleur / Carreleuse (P)</w:t>
            </w:r>
          </w:p>
        </w:tc>
        <w:tc>
          <w:tcPr>
            <w:tcW w:w="982" w:type="dxa"/>
            <w:gridSpan w:val="2"/>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3507</w:t>
            </w:r>
          </w:p>
        </w:tc>
      </w:tr>
      <w:tr>
        <w:trPr>
          <w:trHeight w:val="345"/>
          <w:jc w:val="center"/>
        </w:trPr>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Peintre Décorateur / Peintre Décoratrice (P)</w:t>
            </w:r>
          </w:p>
        </w:tc>
        <w:tc>
          <w:tcPr>
            <w:tcW w:w="856"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3520</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Peintre (P)</w:t>
            </w:r>
          </w:p>
        </w:tc>
        <w:tc>
          <w:tcPr>
            <w:tcW w:w="982" w:type="dxa"/>
            <w:gridSpan w:val="2"/>
            <w:tcBorders>
              <w:top w:val="single" w:sz="4" w:space="0" w:color="auto"/>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3509</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Plafonneur Cimentier / Plafonneuse Cimentière (P)</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3522</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Plafonneur / Plafonneuse (P)</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3501</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Restaurateur / Restauratrice (P)</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b/>
                <w:color w:val="FF0000"/>
                <w:sz w:val="22"/>
                <w:szCs w:val="22"/>
              </w:rPr>
            </w:pPr>
            <w:r>
              <w:rPr>
                <w:rFonts w:asciiTheme="minorHAnsi" w:hAnsiTheme="minorHAnsi" w:cstheme="minorHAnsi"/>
                <w:b/>
                <w:sz w:val="22"/>
                <w:szCs w:val="22"/>
              </w:rPr>
              <w:t>4131</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Restaurateur / Restauratrice (P)</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4116</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Esthéticien / Esthéticienne (TQ)</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b/>
                <w:color w:val="FF0000"/>
                <w:sz w:val="22"/>
                <w:szCs w:val="22"/>
              </w:rPr>
            </w:pPr>
            <w:r>
              <w:rPr>
                <w:rFonts w:asciiTheme="minorHAnsi" w:hAnsiTheme="minorHAnsi" w:cstheme="minorHAnsi"/>
                <w:b/>
                <w:sz w:val="22"/>
                <w:szCs w:val="22"/>
              </w:rPr>
              <w:t>8327</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 xml:space="preserve">Esthéticien / Esthéticienne (TQ) </w:t>
            </w:r>
            <w:r>
              <w:rPr>
                <w:rFonts w:asciiTheme="minorHAnsi" w:hAnsiTheme="minorHAnsi" w:cstheme="minorHAnsi"/>
                <w:b/>
                <w:bCs/>
                <w:color w:val="000000"/>
                <w:sz w:val="22"/>
                <w:szCs w:val="22"/>
              </w:rPr>
              <w:t>(CPU)</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8315</w:t>
            </w:r>
          </w:p>
        </w:tc>
      </w:tr>
      <w:tr>
        <w:trPr>
          <w:trHeight w:val="345"/>
          <w:jc w:val="center"/>
        </w:trPr>
        <w:tc>
          <w:tcPr>
            <w:tcW w:w="3247" w:type="dxa"/>
            <w:tcBorders>
              <w:top w:val="nil"/>
              <w:left w:val="single" w:sz="4" w:space="0" w:color="auto"/>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Coiffeur / Coiffeuse (P)</w:t>
            </w:r>
          </w:p>
        </w:tc>
        <w:tc>
          <w:tcPr>
            <w:tcW w:w="856" w:type="dxa"/>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b/>
                <w:color w:val="FF0000"/>
                <w:sz w:val="22"/>
                <w:szCs w:val="22"/>
              </w:rPr>
            </w:pPr>
            <w:r>
              <w:rPr>
                <w:rFonts w:asciiTheme="minorHAnsi" w:hAnsiTheme="minorHAnsi" w:cstheme="minorHAnsi"/>
                <w:b/>
                <w:sz w:val="22"/>
                <w:szCs w:val="22"/>
              </w:rPr>
              <w:t>8328</w:t>
            </w:r>
          </w:p>
        </w:tc>
        <w:tc>
          <w:tcPr>
            <w:tcW w:w="4394" w:type="dxa"/>
            <w:tcBorders>
              <w:top w:val="nil"/>
              <w:left w:val="nil"/>
              <w:bottom w:val="single" w:sz="4" w:space="0" w:color="auto"/>
              <w:right w:val="single" w:sz="4" w:space="0" w:color="auto"/>
            </w:tcBorders>
            <w:shd w:val="clear" w:color="auto" w:fill="auto"/>
            <w:vAlign w:val="center"/>
            <w:hideMark/>
          </w:tcPr>
          <w:p>
            <w:pPr>
              <w:rPr>
                <w:rFonts w:asciiTheme="minorHAnsi" w:hAnsiTheme="minorHAnsi" w:cstheme="minorHAnsi"/>
                <w:color w:val="000000"/>
                <w:sz w:val="22"/>
                <w:szCs w:val="22"/>
              </w:rPr>
            </w:pPr>
            <w:r>
              <w:rPr>
                <w:rFonts w:asciiTheme="minorHAnsi" w:hAnsiTheme="minorHAnsi" w:cstheme="minorHAnsi"/>
                <w:color w:val="000000"/>
                <w:sz w:val="22"/>
                <w:szCs w:val="22"/>
              </w:rPr>
              <w:t xml:space="preserve">Coiffeur / Coiffeuse (P) </w:t>
            </w:r>
            <w:r>
              <w:rPr>
                <w:rFonts w:asciiTheme="minorHAnsi" w:hAnsiTheme="minorHAnsi" w:cstheme="minorHAnsi"/>
                <w:b/>
                <w:bCs/>
                <w:color w:val="000000"/>
                <w:sz w:val="22"/>
                <w:szCs w:val="22"/>
              </w:rPr>
              <w:t>(CPU)</w:t>
            </w:r>
          </w:p>
        </w:tc>
        <w:tc>
          <w:tcPr>
            <w:tcW w:w="982" w:type="dxa"/>
            <w:gridSpan w:val="2"/>
            <w:tcBorders>
              <w:top w:val="nil"/>
              <w:left w:val="nil"/>
              <w:bottom w:val="single" w:sz="4" w:space="0" w:color="auto"/>
              <w:right w:val="single" w:sz="4" w:space="0" w:color="auto"/>
            </w:tcBorders>
            <w:shd w:val="clear" w:color="auto" w:fill="auto"/>
            <w:noWrap/>
            <w:vAlign w:val="center"/>
            <w:hideMark/>
          </w:tcPr>
          <w:p>
            <w:pPr>
              <w:jc w:val="center"/>
              <w:rPr>
                <w:rFonts w:asciiTheme="minorHAnsi" w:hAnsiTheme="minorHAnsi" w:cstheme="minorHAnsi"/>
                <w:color w:val="000000"/>
                <w:sz w:val="22"/>
                <w:szCs w:val="22"/>
              </w:rPr>
            </w:pPr>
            <w:r>
              <w:rPr>
                <w:rFonts w:asciiTheme="minorHAnsi" w:hAnsiTheme="minorHAnsi" w:cstheme="minorHAnsi"/>
                <w:color w:val="000000"/>
                <w:sz w:val="22"/>
                <w:szCs w:val="22"/>
              </w:rPr>
              <w:t>8314</w:t>
            </w:r>
          </w:p>
        </w:tc>
      </w:tr>
    </w:tbl>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sectPr>
          <w:footerReference w:type="default" r:id="rId31"/>
          <w:type w:val="oddPage"/>
          <w:pgSz w:w="11906" w:h="16838"/>
          <w:pgMar w:top="907" w:right="1134" w:bottom="907" w:left="1276" w:header="851" w:footer="851" w:gutter="0"/>
          <w:cols w:space="720"/>
          <w:docGrid w:linePitch="360"/>
        </w:sectPr>
      </w:pPr>
    </w:p>
    <w:p>
      <w:pPr>
        <w:pStyle w:val="niveau2"/>
        <w:ind w:left="709"/>
        <w:rPr>
          <w:color w:val="000000"/>
        </w:rPr>
      </w:pPr>
      <w:bookmarkStart w:id="61" w:name="_Toc522700780"/>
      <w:r>
        <w:rPr>
          <w:color w:val="000000"/>
        </w:rPr>
        <w:lastRenderedPageBreak/>
        <w:t>CHAPITRE IV : FONCTIONNEMENT</w:t>
      </w:r>
      <w:bookmarkEnd w:id="61"/>
    </w:p>
    <w:p>
      <w:pPr>
        <w:pStyle w:val="niveau3"/>
        <w:ind w:left="709"/>
      </w:pPr>
      <w:bookmarkStart w:id="62" w:name="_Toc522700781"/>
      <w:r>
        <w:t xml:space="preserve">I. </w:t>
      </w:r>
      <w:r>
        <w:rPr>
          <w:u w:val="single"/>
        </w:rPr>
        <w:t>Conseil de direction du CEFA</w:t>
      </w:r>
      <w:bookmarkEnd w:id="62"/>
    </w:p>
    <w:p>
      <w:pPr>
        <w:pStyle w:val="niveau4"/>
        <w:ind w:left="709"/>
      </w:pPr>
      <w:bookmarkStart w:id="63" w:name="_Toc522700782"/>
      <w:r>
        <w:t>1. Composition</w:t>
      </w:r>
      <w:r>
        <w:rPr>
          <w:u w:val="none"/>
        </w:rPr>
        <w:t xml:space="preserve"> </w:t>
      </w:r>
      <w:r>
        <w:rPr>
          <w:rStyle w:val="Caractresdenotedebasdepage"/>
          <w:color w:val="000000"/>
          <w:u w:val="none"/>
        </w:rPr>
        <w:footnoteReference w:id="137"/>
      </w:r>
      <w:bookmarkEnd w:id="63"/>
      <w:r>
        <w:t xml:space="preserve"> </w:t>
      </w:r>
    </w:p>
    <w:p>
      <w:pPr>
        <w:pStyle w:val="Document1"/>
        <w:keepNext w:val="0"/>
        <w:keepLines w:val="0"/>
        <w:tabs>
          <w:tab w:val="left" w:pos="-1440"/>
          <w:tab w:val="left" w:pos="4820"/>
        </w:tabs>
        <w:suppressAutoHyphens w:val="0"/>
        <w:spacing w:after="120"/>
        <w:ind w:left="1355"/>
        <w:jc w:val="both"/>
        <w:rPr>
          <w:rFonts w:ascii="Book Antiqua" w:hAnsi="Book Antiqua" w:cs="Book Antiqua"/>
          <w:color w:val="000000"/>
          <w:spacing w:val="-4"/>
          <w:sz w:val="20"/>
          <w:szCs w:val="20"/>
          <w:lang w:val="fr-FR"/>
        </w:rPr>
      </w:pPr>
      <w:r>
        <w:rPr>
          <w:rFonts w:ascii="Book Antiqua" w:hAnsi="Book Antiqua" w:cs="Book Antiqua"/>
          <w:color w:val="000000"/>
          <w:spacing w:val="-4"/>
          <w:sz w:val="20"/>
          <w:szCs w:val="20"/>
          <w:lang w:val="fr-FR"/>
        </w:rPr>
        <w:t>Pour chaque Centre d’éducation et de formation en alternance, il est créé un Conseil de direction qui est composé du chef de l’établissement siège, des chefs des établissements coopérants ou de leurs délégués, et du coordonnateur du Centre.</w:t>
      </w:r>
    </w:p>
    <w:p>
      <w:pPr>
        <w:pStyle w:val="Document1"/>
        <w:keepNext w:val="0"/>
        <w:keepLines w:val="0"/>
        <w:tabs>
          <w:tab w:val="left" w:pos="-1440"/>
          <w:tab w:val="left" w:pos="4820"/>
        </w:tabs>
        <w:suppressAutoHyphens w:val="0"/>
        <w:spacing w:after="240"/>
        <w:ind w:left="1355"/>
        <w:jc w:val="both"/>
        <w:rPr>
          <w:rFonts w:ascii="Book Antiqua" w:hAnsi="Book Antiqua" w:cs="Book Antiqua"/>
          <w:color w:val="000000"/>
          <w:spacing w:val="-4"/>
          <w:sz w:val="20"/>
          <w:szCs w:val="20"/>
          <w:lang w:val="fr-FR"/>
        </w:rPr>
      </w:pPr>
      <w:r>
        <w:rPr>
          <w:rFonts w:ascii="Book Antiqua" w:hAnsi="Book Antiqua" w:cs="Book Antiqua"/>
          <w:color w:val="000000"/>
          <w:spacing w:val="-4"/>
          <w:sz w:val="20"/>
          <w:szCs w:val="20"/>
          <w:lang w:val="fr-FR"/>
        </w:rPr>
        <w:t>Le Conseil de direction est présidé par le chef de l’établissement siège ou, en cas d’absence, par le coordonnateur du Centre.</w:t>
      </w:r>
    </w:p>
    <w:p>
      <w:pPr>
        <w:pStyle w:val="niveau4"/>
        <w:ind w:left="709"/>
        <w:rPr>
          <w:b/>
          <w:spacing w:val="-4"/>
        </w:rPr>
      </w:pPr>
      <w:bookmarkStart w:id="64" w:name="_Toc522700783"/>
      <w:r>
        <w:t>2. Compétences</w:t>
      </w:r>
      <w:bookmarkEnd w:id="64"/>
      <w:r>
        <w:rPr>
          <w:b/>
          <w:spacing w:val="-4"/>
        </w:rPr>
        <w:t xml:space="preserve"> </w:t>
      </w:r>
    </w:p>
    <w:p>
      <w:pPr>
        <w:pStyle w:val="Document1"/>
        <w:keepNext w:val="0"/>
        <w:keepLines w:val="0"/>
        <w:tabs>
          <w:tab w:val="left" w:pos="-1440"/>
          <w:tab w:val="left" w:pos="4820"/>
        </w:tabs>
        <w:suppressAutoHyphens w:val="0"/>
        <w:spacing w:after="120"/>
        <w:ind w:left="1418"/>
        <w:jc w:val="both"/>
        <w:rPr>
          <w:rFonts w:ascii="Book Antiqua" w:hAnsi="Book Antiqua" w:cs="Book Antiqua"/>
          <w:color w:val="000000"/>
          <w:spacing w:val="-4"/>
          <w:sz w:val="20"/>
          <w:szCs w:val="20"/>
          <w:lang w:val="fr-FR"/>
        </w:rPr>
      </w:pPr>
      <w:r>
        <w:rPr>
          <w:rFonts w:ascii="Book Antiqua" w:hAnsi="Book Antiqua" w:cs="Book Antiqua"/>
          <w:color w:val="000000"/>
          <w:spacing w:val="-4"/>
          <w:sz w:val="20"/>
          <w:szCs w:val="20"/>
          <w:lang w:val="fr-FR"/>
        </w:rPr>
        <w:t>Le Conseil de direction se réunit au moins 4 fois par année scolaire, à l’initiative du membre qui préside, pour :</w:t>
      </w:r>
    </w:p>
    <w:p>
      <w:pPr>
        <w:pStyle w:val="Document1"/>
        <w:keepNext w:val="0"/>
        <w:keepLines w:val="0"/>
        <w:tabs>
          <w:tab w:val="left" w:pos="-1440"/>
          <w:tab w:val="num" w:pos="1069"/>
          <w:tab w:val="left" w:pos="1133"/>
          <w:tab w:val="left" w:pos="4820"/>
        </w:tabs>
        <w:suppressAutoHyphens w:val="0"/>
        <w:spacing w:after="60"/>
        <w:ind w:left="1418"/>
        <w:jc w:val="both"/>
        <w:rPr>
          <w:rFonts w:ascii="Book Antiqua" w:hAnsi="Book Antiqua" w:cs="Book Antiqua"/>
          <w:i/>
          <w:iCs/>
          <w:color w:val="000000"/>
          <w:spacing w:val="-4"/>
          <w:lang w:val="fr-FR"/>
        </w:rPr>
      </w:pPr>
      <w:r>
        <w:rPr>
          <w:rFonts w:ascii="Book Antiqua" w:hAnsi="Book Antiqua" w:cs="Book Antiqua"/>
          <w:color w:val="000000"/>
          <w:spacing w:val="-4"/>
          <w:sz w:val="20"/>
          <w:szCs w:val="20"/>
          <w:lang w:val="fr-FR"/>
        </w:rPr>
        <w:t xml:space="preserve">- affecter les périodes-professeurs aux différents établissements coopérants en fonction des périodes de formation qui y sont organisées ; </w:t>
      </w:r>
      <w:r>
        <w:rPr>
          <w:rStyle w:val="Caractresdenotedebasdepage"/>
          <w:rFonts w:ascii="Book Antiqua" w:hAnsi="Book Antiqua" w:cs="Book Antiqua"/>
          <w:color w:val="000000"/>
          <w:spacing w:val="-4"/>
          <w:sz w:val="20"/>
          <w:szCs w:val="20"/>
          <w:lang w:val="fr-FR"/>
        </w:rPr>
        <w:footnoteReference w:id="138"/>
      </w:r>
    </w:p>
    <w:p>
      <w:pPr>
        <w:pStyle w:val="Textebrut1"/>
        <w:widowControl/>
        <w:tabs>
          <w:tab w:val="left" w:pos="1133"/>
        </w:tabs>
        <w:spacing w:after="60"/>
        <w:ind w:left="1418" w:firstLine="0"/>
        <w:rPr>
          <w:rFonts w:ascii="Book Antiqua" w:hAnsi="Book Antiqua" w:cs="Book Antiqua"/>
          <w:color w:val="000000"/>
          <w:spacing w:val="-4"/>
          <w:lang w:val="fr-FR"/>
        </w:rPr>
      </w:pPr>
      <w:r>
        <w:rPr>
          <w:rFonts w:ascii="Book Antiqua" w:hAnsi="Book Antiqua" w:cs="Book Antiqua"/>
          <w:i/>
          <w:iCs/>
          <w:color w:val="000000"/>
          <w:spacing w:val="-4"/>
          <w:lang w:val="fr-FR"/>
        </w:rPr>
        <w:t>- pour l’enseignement subventionné</w:t>
      </w:r>
      <w:r>
        <w:rPr>
          <w:rFonts w:ascii="Book Antiqua" w:hAnsi="Book Antiqua" w:cs="Book Antiqua"/>
          <w:color w:val="000000"/>
          <w:spacing w:val="-4"/>
          <w:lang w:val="fr-FR"/>
        </w:rPr>
        <w:t>, proposer aux pouvoirs organisateurs l’affectation des ressources matérielles ou financières attribuées par la Fédération Wallonie-Bruxelles</w:t>
      </w:r>
      <w:r>
        <w:rPr>
          <w:rFonts w:ascii="Book Antiqua" w:hAnsi="Book Antiqua" w:cs="Book Antiqua"/>
          <w:b/>
          <w:color w:val="000000"/>
          <w:lang w:val="fr-FR"/>
        </w:rPr>
        <w:t xml:space="preserve"> </w:t>
      </w:r>
      <w:r>
        <w:rPr>
          <w:rFonts w:ascii="Book Antiqua" w:hAnsi="Book Antiqua" w:cs="Book Antiqua"/>
          <w:color w:val="000000"/>
          <w:spacing w:val="-4"/>
          <w:lang w:val="fr-FR"/>
        </w:rPr>
        <w:t>ou tout autre pouvoir public ;</w:t>
      </w:r>
    </w:p>
    <w:p>
      <w:pPr>
        <w:pStyle w:val="Textebrut1"/>
        <w:widowControl/>
        <w:tabs>
          <w:tab w:val="left" w:pos="1133"/>
        </w:tabs>
        <w:spacing w:after="60"/>
        <w:rPr>
          <w:rFonts w:ascii="Book Antiqua" w:hAnsi="Book Antiqua" w:cs="Book Antiqua"/>
          <w:color w:val="000000"/>
          <w:lang w:val="fr-FR"/>
        </w:rPr>
      </w:pPr>
      <w:r>
        <w:rPr>
          <w:rFonts w:ascii="Book Antiqua" w:hAnsi="Book Antiqua" w:cs="Book Antiqua"/>
          <w:i/>
          <w:iCs/>
          <w:color w:val="000000"/>
          <w:spacing w:val="-4"/>
          <w:lang w:val="fr-FR"/>
        </w:rPr>
        <w:t xml:space="preserve">              - pour l’enseignement organisé par la</w:t>
      </w:r>
      <w:r>
        <w:rPr>
          <w:rFonts w:ascii="Book Antiqua" w:hAnsi="Book Antiqua" w:cs="Book Antiqua"/>
          <w:color w:val="000000"/>
          <w:spacing w:val="-4"/>
          <w:lang w:val="fr-FR"/>
        </w:rPr>
        <w:t xml:space="preserve"> Fédération Wallonie-Bruxelles,</w:t>
      </w:r>
      <w:r>
        <w:rPr>
          <w:rFonts w:ascii="Book Antiqua" w:hAnsi="Book Antiqua" w:cs="Book Antiqua"/>
          <w:b/>
          <w:color w:val="000000"/>
          <w:lang w:val="fr-FR"/>
        </w:rPr>
        <w:t xml:space="preserve"> </w:t>
      </w:r>
      <w:r>
        <w:rPr>
          <w:rFonts w:ascii="Book Antiqua" w:hAnsi="Book Antiqua" w:cs="Book Antiqua"/>
          <w:color w:val="000000"/>
          <w:spacing w:val="-4"/>
          <w:lang w:val="fr-FR"/>
        </w:rPr>
        <w:t>décider de l’affectation des ressources matérielles ou financières attribuées par la Fédération Wallonie-Bruxelles</w:t>
      </w:r>
      <w:r>
        <w:rPr>
          <w:rFonts w:ascii="Book Antiqua" w:hAnsi="Book Antiqua" w:cs="Book Antiqua"/>
          <w:b/>
          <w:color w:val="000000"/>
          <w:lang w:val="fr-FR"/>
        </w:rPr>
        <w:t xml:space="preserve"> </w:t>
      </w:r>
      <w:r>
        <w:rPr>
          <w:rFonts w:ascii="Book Antiqua" w:hAnsi="Book Antiqua" w:cs="Book Antiqua"/>
          <w:color w:val="000000"/>
          <w:spacing w:val="-4"/>
          <w:lang w:val="fr-FR"/>
        </w:rPr>
        <w:t>ou tout autre pouvoir public.</w:t>
      </w:r>
      <w:r>
        <w:rPr>
          <w:rStyle w:val="Caractresdenotedebasdepage"/>
          <w:rFonts w:ascii="Book Antiqua" w:hAnsi="Book Antiqua" w:cs="Book Antiqua"/>
          <w:color w:val="000000"/>
          <w:spacing w:val="-4"/>
          <w:lang w:val="fr-FR"/>
        </w:rPr>
        <w:footnoteReference w:id="139"/>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lang w:val="fr-FR"/>
        </w:rPr>
        <w:t xml:space="preserve">contrôler que toutes les ressources matérielles ou financières </w:t>
      </w:r>
      <w:proofErr w:type="spellStart"/>
      <w:r>
        <w:rPr>
          <w:rFonts w:ascii="Book Antiqua" w:hAnsi="Book Antiqua"/>
          <w:lang w:val="fr-FR"/>
        </w:rPr>
        <w:t>proméritées</w:t>
      </w:r>
      <w:proofErr w:type="spellEnd"/>
      <w:r>
        <w:rPr>
          <w:rFonts w:ascii="Book Antiqua" w:hAnsi="Book Antiqua"/>
          <w:lang w:val="fr-FR"/>
        </w:rPr>
        <w:t xml:space="preserve"> par le CEFA sont bien affectées, par les pouvoirs organisateurs pour l’enseignement subventionné ou par le Conseil de direction pour l’enseignement organisé par la </w:t>
      </w:r>
      <w:r>
        <w:rPr>
          <w:rFonts w:ascii="Book Antiqua" w:hAnsi="Book Antiqua"/>
          <w:spacing w:val="-4"/>
          <w:lang w:val="fr-FR"/>
        </w:rPr>
        <w:t>Fédération Wallonie-Bruxelles</w:t>
      </w:r>
      <w:r>
        <w:rPr>
          <w:rFonts w:ascii="Book Antiqua" w:hAnsi="Book Antiqua"/>
          <w:lang w:val="fr-FR"/>
        </w:rPr>
        <w:t xml:space="preserve">, aux missions de celui-ci ; </w:t>
      </w:r>
      <w:r>
        <w:rPr>
          <w:rStyle w:val="Caractresdenotedebasdepage"/>
          <w:rFonts w:ascii="Book Antiqua" w:hAnsi="Book Antiqua" w:cs="Book Antiqua"/>
          <w:color w:val="000000"/>
          <w:lang w:val="fr-FR"/>
        </w:rPr>
        <w:footnoteReference w:id="140"/>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spacing w:val="-4"/>
          <w:lang w:val="fr-FR"/>
        </w:rPr>
        <w:t xml:space="preserve">déterminer </w:t>
      </w:r>
      <w:r>
        <w:rPr>
          <w:rFonts w:ascii="Book Antiqua" w:hAnsi="Book Antiqua"/>
          <w:lang w:val="fr-FR"/>
        </w:rPr>
        <w:t>pour chaque cas la durée</w:t>
      </w:r>
      <w:r>
        <w:rPr>
          <w:rFonts w:ascii="Book Antiqua" w:hAnsi="Book Antiqua"/>
          <w:spacing w:val="-4"/>
          <w:lang w:val="fr-FR"/>
        </w:rPr>
        <w:t xml:space="preserve"> du module de formation individualisé et les moyens disponibles à y consacrer ; </w:t>
      </w:r>
      <w:r>
        <w:rPr>
          <w:rStyle w:val="Caractresdenotedebasdepage"/>
          <w:rFonts w:ascii="Book Antiqua" w:hAnsi="Book Antiqua" w:cs="Book Antiqua"/>
          <w:color w:val="000000"/>
          <w:spacing w:val="-4"/>
          <w:lang w:val="fr-FR"/>
        </w:rPr>
        <w:footnoteReference w:id="141"/>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lang w:val="fr-FR"/>
        </w:rPr>
        <w:t xml:space="preserve">demander, dans le cadre de l’organisation de modules de </w:t>
      </w:r>
      <w:r>
        <w:rPr>
          <w:rFonts w:ascii="Book Antiqua" w:hAnsi="Book Antiqua"/>
          <w:spacing w:val="-4"/>
          <w:lang w:val="fr-FR"/>
        </w:rPr>
        <w:t>formations individualisés,</w:t>
      </w:r>
      <w:r>
        <w:rPr>
          <w:rFonts w:ascii="Book Antiqua" w:hAnsi="Book Antiqua"/>
          <w:lang w:val="fr-FR"/>
        </w:rPr>
        <w:t xml:space="preserve"> la collaboration des services de l'Aide à la jeunesse ou des organismes reconnus par le Ministre compétent pour l'Aide à la jeunesse ou par le Ministre compétent pour l'enseignement secondaire. Les modalités de cette collaboration devront être établies conjointement par les Ministres concernés ; </w:t>
      </w:r>
      <w:r>
        <w:rPr>
          <w:rStyle w:val="Caractresdenotedebasdepage"/>
          <w:rFonts w:ascii="Book Antiqua" w:hAnsi="Book Antiqua" w:cs="Book Antiqua"/>
          <w:color w:val="000000"/>
          <w:lang w:val="fr-FR"/>
        </w:rPr>
        <w:footnoteReference w:id="142"/>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lang w:val="fr-FR"/>
        </w:rPr>
        <w:t xml:space="preserve">entendre le rapport du coordonnateur sur la répartition des tâches entre les accompagnateurs et, s’il l’estime nécessaire, donner des consignes d’organisation au coordonnateur ; </w:t>
      </w:r>
      <w:r>
        <w:rPr>
          <w:rStyle w:val="Caractresdenotedebasdepage"/>
          <w:rFonts w:ascii="Book Antiqua" w:hAnsi="Book Antiqua" w:cs="Book Antiqua"/>
          <w:color w:val="000000"/>
          <w:lang w:val="fr-FR"/>
        </w:rPr>
        <w:footnoteReference w:id="143"/>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lang w:val="fr-FR"/>
        </w:rPr>
      </w:pPr>
      <w:r>
        <w:rPr>
          <w:rFonts w:ascii="Book Antiqua" w:hAnsi="Book Antiqua"/>
          <w:lang w:val="fr-FR"/>
        </w:rPr>
        <w:t>marquer son accord quant à l’organisation en alternance, sur proposition de tout établissement d’enseignement secondaire de plein exercice, siège ou coopérant, d’une option « article 49 » ;</w:t>
      </w:r>
    </w:p>
    <w:p>
      <w:pPr>
        <w:pStyle w:val="Textebrut1"/>
        <w:widowControl/>
        <w:numPr>
          <w:ilvl w:val="0"/>
          <w:numId w:val="37"/>
        </w:numPr>
        <w:tabs>
          <w:tab w:val="clear" w:pos="360"/>
          <w:tab w:val="num" w:pos="1069"/>
          <w:tab w:val="left" w:pos="1133"/>
        </w:tabs>
        <w:spacing w:after="60"/>
        <w:ind w:left="1843" w:hanging="425"/>
        <w:rPr>
          <w:rFonts w:ascii="Book Antiqua" w:hAnsi="Book Antiqua"/>
          <w:lang w:val="fr-FR"/>
        </w:rPr>
      </w:pPr>
      <w:r>
        <w:rPr>
          <w:rFonts w:ascii="Book Antiqua" w:hAnsi="Book Antiqua"/>
          <w:lang w:val="fr-FR"/>
        </w:rPr>
        <w:lastRenderedPageBreak/>
        <w:t xml:space="preserve">autoriser la création en alternance « article 49 », dans l’établissement siège ou dans un établissement coopérant, d’une option qui existe dans un autre établissement coopérant alors que ce dernier ne souhaite pas l’organiser en alternance ; </w:t>
      </w:r>
      <w:r>
        <w:rPr>
          <w:rStyle w:val="Caractresdenotedebasdepage"/>
          <w:rFonts w:ascii="Book Antiqua" w:hAnsi="Book Antiqua" w:cs="Book Antiqua"/>
          <w:color w:val="000000"/>
          <w:lang w:val="fr-FR"/>
        </w:rPr>
        <w:footnoteReference w:id="144"/>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lang w:val="fr-FR"/>
        </w:rPr>
        <w:t xml:space="preserve">arrêter les formations « article 45 » (décision à la majorité des 2/3 des membres présents) ; </w:t>
      </w:r>
      <w:r>
        <w:rPr>
          <w:rStyle w:val="Caractresdenotedebasdepage"/>
          <w:rFonts w:ascii="Book Antiqua" w:hAnsi="Book Antiqua" w:cs="Book Antiqua"/>
          <w:color w:val="000000"/>
          <w:lang w:val="fr-FR"/>
        </w:rPr>
        <w:footnoteReference w:id="145"/>
      </w:r>
    </w:p>
    <w:p>
      <w:pPr>
        <w:pStyle w:val="Textebrut1"/>
        <w:widowControl/>
        <w:numPr>
          <w:ilvl w:val="0"/>
          <w:numId w:val="37"/>
        </w:numPr>
        <w:tabs>
          <w:tab w:val="clear" w:pos="360"/>
          <w:tab w:val="num" w:pos="1069"/>
          <w:tab w:val="left" w:pos="1133"/>
        </w:tabs>
        <w:spacing w:after="60"/>
        <w:ind w:left="1843" w:hanging="425"/>
        <w:rPr>
          <w:rFonts w:ascii="Book Antiqua" w:hAnsi="Book Antiqua"/>
          <w:lang w:val="fr-FR"/>
        </w:rPr>
      </w:pPr>
      <w:r>
        <w:rPr>
          <w:rFonts w:ascii="Book Antiqua" w:hAnsi="Book Antiqua"/>
          <w:lang w:val="fr-FR"/>
        </w:rPr>
        <w:t xml:space="preserve">décider du maintien d’une formation « article 45 » organisée l’année précédente ; </w:t>
      </w:r>
      <w:r>
        <w:rPr>
          <w:rStyle w:val="Caractresdenotedebasdepage"/>
          <w:rFonts w:ascii="Book Antiqua" w:hAnsi="Book Antiqua" w:cs="Book Antiqua"/>
          <w:color w:val="000000"/>
          <w:lang w:val="fr-FR"/>
        </w:rPr>
        <w:footnoteReference w:id="146"/>
      </w:r>
    </w:p>
    <w:p>
      <w:pPr>
        <w:pStyle w:val="Textebrut1"/>
        <w:widowControl/>
        <w:numPr>
          <w:ilvl w:val="0"/>
          <w:numId w:val="37"/>
        </w:numPr>
        <w:tabs>
          <w:tab w:val="clear" w:pos="360"/>
          <w:tab w:val="num" w:pos="1069"/>
          <w:tab w:val="left" w:pos="1133"/>
        </w:tabs>
        <w:spacing w:after="60"/>
        <w:ind w:left="1843" w:hanging="425"/>
        <w:rPr>
          <w:rFonts w:ascii="Book Antiqua" w:hAnsi="Book Antiqua"/>
          <w:lang w:val="fr-FR"/>
        </w:rPr>
      </w:pPr>
      <w:r>
        <w:rPr>
          <w:rFonts w:ascii="Book Antiqua" w:hAnsi="Book Antiqua"/>
          <w:lang w:val="fr-FR"/>
        </w:rPr>
        <w:t>désigner deux représentants de chaque CEFA qui feront partie du Conseil zonal de l’alternance ;</w:t>
      </w:r>
      <w:r>
        <w:rPr>
          <w:rStyle w:val="Caractresdenotedebasdepage"/>
          <w:rFonts w:ascii="Book Antiqua" w:hAnsi="Book Antiqua" w:cs="Book Antiqua"/>
          <w:color w:val="000000"/>
          <w:spacing w:val="-4"/>
          <w:lang w:val="fr-FR"/>
        </w:rPr>
        <w:footnoteReference w:id="147"/>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lang w:val="fr-FR"/>
        </w:rPr>
      </w:pPr>
      <w:r>
        <w:rPr>
          <w:rFonts w:ascii="Book Antiqua" w:hAnsi="Book Antiqua"/>
          <w:lang w:val="fr-FR"/>
        </w:rPr>
        <w:t xml:space="preserve">attribuer, le cas échéant, la présidence du conseil zonal de l’alternance à un représentant du Conseil de direction ; </w:t>
      </w:r>
      <w:r>
        <w:rPr>
          <w:rStyle w:val="Caractresdenotedebasdepage"/>
          <w:rFonts w:ascii="Book Antiqua" w:hAnsi="Book Antiqua" w:cs="Book Antiqua"/>
          <w:color w:val="000000"/>
          <w:spacing w:val="-4"/>
          <w:lang w:val="fr-FR"/>
        </w:rPr>
        <w:footnoteReference w:id="148"/>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lang w:val="fr-FR"/>
        </w:rPr>
      </w:pPr>
      <w:r>
        <w:rPr>
          <w:rFonts w:ascii="Book Antiqua" w:hAnsi="Book Antiqua" w:cs="Book Antiqua"/>
          <w:color w:val="000000"/>
          <w:lang w:val="fr-FR"/>
        </w:rPr>
        <w:t xml:space="preserve">désigner l'accompagnateur comme suppléant du coordonnateur dans certaines des missions qui lui sont attribuées. </w:t>
      </w:r>
      <w:r>
        <w:rPr>
          <w:rStyle w:val="Caractresdenotedebasdepage"/>
          <w:rFonts w:ascii="Book Antiqua" w:hAnsi="Book Antiqua" w:cs="Book Antiqua"/>
          <w:color w:val="000000"/>
          <w:lang w:val="fr-FR"/>
        </w:rPr>
        <w:footnoteReference w:id="149"/>
      </w:r>
    </w:p>
    <w:p>
      <w:pPr>
        <w:pStyle w:val="Document1"/>
        <w:keepNext w:val="0"/>
        <w:keepLines w:val="0"/>
        <w:tabs>
          <w:tab w:val="left" w:pos="-1440"/>
          <w:tab w:val="left" w:pos="1133"/>
          <w:tab w:val="left" w:pos="4820"/>
        </w:tabs>
        <w:suppressAutoHyphens w:val="0"/>
        <w:spacing w:after="60"/>
        <w:ind w:left="1843"/>
        <w:jc w:val="both"/>
        <w:rPr>
          <w:rFonts w:ascii="Book Antiqua" w:hAnsi="Book Antiqua" w:cs="Book Antiqua"/>
          <w:color w:val="000000"/>
          <w:sz w:val="20"/>
          <w:szCs w:val="20"/>
          <w:lang w:val="fr-FR"/>
        </w:rPr>
      </w:pPr>
      <w:r>
        <w:rPr>
          <w:rFonts w:ascii="Book Antiqua" w:hAnsi="Book Antiqua" w:cs="Book Antiqua"/>
          <w:color w:val="000000"/>
          <w:sz w:val="20"/>
          <w:szCs w:val="20"/>
          <w:lang w:val="fr-FR"/>
        </w:rPr>
        <w:t>A noter que lorsqu’il y a plusieurs accompagnateurs, il est ainsi possible de répartir des missions du coordonnateur entre plusieurs de ces accompagnateurs. Le coordonnateur reste cependant le seul responsable ;</w:t>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lang w:val="fr-FR"/>
        </w:rPr>
      </w:pPr>
      <w:r>
        <w:rPr>
          <w:rFonts w:ascii="Book Antiqua" w:hAnsi="Book Antiqua" w:cs="Book Antiqua"/>
          <w:color w:val="000000"/>
          <w:lang w:val="fr-FR"/>
        </w:rPr>
        <w:t xml:space="preserve">autoriser que des élèves continuent à  bénéficier, au-delà des 6 premiers mois de fréquentation du CEFA, d’activités complémentaires de préparation à l’insertion socio-professionnelle pendant les périodes où ils n’ont pas obtenu de stage. </w:t>
      </w:r>
      <w:r>
        <w:rPr>
          <w:rStyle w:val="Caractresdenotedebasdepage"/>
          <w:rFonts w:ascii="Book Antiqua" w:hAnsi="Book Antiqua" w:cs="Book Antiqua"/>
          <w:color w:val="000000"/>
          <w:lang w:val="fr-FR"/>
        </w:rPr>
        <w:footnoteReference w:id="150"/>
      </w:r>
    </w:p>
    <w:p>
      <w:pPr>
        <w:pStyle w:val="Document1"/>
        <w:keepNext w:val="0"/>
        <w:keepLines w:val="0"/>
        <w:tabs>
          <w:tab w:val="left" w:pos="-1440"/>
          <w:tab w:val="left" w:pos="4820"/>
        </w:tabs>
        <w:suppressAutoHyphens w:val="0"/>
        <w:spacing w:before="120" w:after="240"/>
        <w:ind w:left="1418"/>
        <w:jc w:val="both"/>
        <w:rPr>
          <w:rFonts w:ascii="Book Antiqua" w:hAnsi="Book Antiqua" w:cs="Book Antiqua"/>
          <w:color w:val="000000"/>
          <w:spacing w:val="-4"/>
          <w:sz w:val="20"/>
          <w:szCs w:val="20"/>
          <w:lang w:val="fr-FR"/>
        </w:rPr>
      </w:pPr>
      <w:r>
        <w:rPr>
          <w:rFonts w:ascii="Book Antiqua" w:hAnsi="Book Antiqua" w:cs="Book Antiqua"/>
          <w:color w:val="000000"/>
          <w:spacing w:val="-4"/>
          <w:sz w:val="20"/>
          <w:szCs w:val="20"/>
          <w:lang w:val="fr-FR"/>
        </w:rPr>
        <w:t>Sauf pour l’organisation de formations « article 45 », où les décisions sont prises à la majorité des deux tiers des membres présents, les décisions sont prises à la majorité simple des membres présents. En cas de partage des voix, celle du membre qui préside est prépondérante.</w:t>
      </w:r>
    </w:p>
    <w:p>
      <w:pPr>
        <w:pStyle w:val="Document1"/>
        <w:keepNext w:val="0"/>
        <w:keepLines w:val="0"/>
        <w:tabs>
          <w:tab w:val="left" w:pos="-1440"/>
          <w:tab w:val="left" w:pos="4820"/>
        </w:tabs>
        <w:suppressAutoHyphens w:val="0"/>
        <w:spacing w:after="240"/>
        <w:ind w:left="1418"/>
        <w:jc w:val="both"/>
        <w:rPr>
          <w:lang w:val="fr-FR"/>
        </w:rPr>
      </w:pPr>
      <w:r>
        <w:rPr>
          <w:rFonts w:ascii="Book Antiqua" w:hAnsi="Book Antiqua" w:cs="Book Antiqua"/>
          <w:color w:val="000000"/>
          <w:spacing w:val="-4"/>
          <w:sz w:val="20"/>
          <w:szCs w:val="20"/>
          <w:lang w:val="fr-FR"/>
        </w:rPr>
        <w:t>Tout membre peut interjeter un recours auprès du Comité de Concertation compétent.</w:t>
      </w:r>
      <w:r>
        <w:rPr>
          <w:rFonts w:ascii="Book Antiqua" w:hAnsi="Book Antiqua" w:cs="Book Antiqua"/>
          <w:color w:val="000000"/>
          <w:sz w:val="20"/>
          <w:szCs w:val="20"/>
          <w:lang w:val="fr-FR"/>
        </w:rPr>
        <w:t xml:space="preserve"> S'il </w:t>
      </w:r>
      <w:proofErr w:type="spellStart"/>
      <w:r>
        <w:rPr>
          <w:rFonts w:ascii="Book Antiqua" w:hAnsi="Book Antiqua" w:cs="Book Antiqua"/>
          <w:color w:val="000000"/>
          <w:sz w:val="20"/>
          <w:szCs w:val="20"/>
          <w:lang w:val="fr-FR"/>
        </w:rPr>
        <w:t>échet</w:t>
      </w:r>
      <w:proofErr w:type="spellEnd"/>
      <w:r>
        <w:rPr>
          <w:rFonts w:ascii="Book Antiqua" w:hAnsi="Book Antiqua" w:cs="Book Antiqua"/>
          <w:color w:val="000000"/>
          <w:sz w:val="20"/>
          <w:szCs w:val="20"/>
          <w:lang w:val="fr-FR"/>
        </w:rPr>
        <w:t xml:space="preserve">, la décision de ce dernier remplace la décision attaquée. </w:t>
      </w:r>
      <w:r>
        <w:rPr>
          <w:rStyle w:val="Caractresdenotedebasdepage"/>
          <w:rFonts w:ascii="Book Antiqua" w:hAnsi="Book Antiqua" w:cs="Book Antiqua"/>
          <w:color w:val="000000"/>
          <w:sz w:val="20"/>
          <w:szCs w:val="20"/>
          <w:lang w:val="fr-FR"/>
        </w:rPr>
        <w:footnoteReference w:id="151"/>
      </w:r>
    </w:p>
    <w:p>
      <w:pPr>
        <w:pStyle w:val="niveau4"/>
        <w:ind w:left="709"/>
      </w:pPr>
      <w:bookmarkStart w:id="65" w:name="_Toc522700784"/>
      <w:r>
        <w:t>3. Gestion de la dotation et de la subvention de fonctionnement, ainsi que des ressources complémentaires</w:t>
      </w:r>
      <w:r>
        <w:rPr>
          <w:rStyle w:val="Caractresdenotedebasdepage"/>
          <w:color w:val="000000"/>
          <w:u w:val="none"/>
        </w:rPr>
        <w:footnoteReference w:id="152"/>
      </w:r>
      <w:bookmarkEnd w:id="65"/>
      <w:r>
        <w:t xml:space="preserve"> </w:t>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Pour tout élève régulier inscrit au 15 janvier de l'année scolaire en cours, il est attribué une dotation ou une subvention de fonctionnement égale à 50% au minimum du montant de la dotation ou de la subvention de fonctionnement fixée pour les sections du groupe B de l'enseignement technique de plein exercice visé à l'arrêté royal du 31 août 1960 précité.</w:t>
      </w:r>
    </w:p>
    <w:p>
      <w:pPr>
        <w:tabs>
          <w:tab w:val="left" w:pos="426"/>
          <w:tab w:val="left" w:pos="3600"/>
        </w:tabs>
        <w:spacing w:before="120" w:after="120"/>
        <w:ind w:left="1429"/>
        <w:jc w:val="both"/>
        <w:rPr>
          <w:rFonts w:ascii="Book Antiqua" w:hAnsi="Book Antiqua" w:cs="Book Antiqua"/>
          <w:color w:val="000000"/>
        </w:rPr>
      </w:pPr>
      <w:r>
        <w:rPr>
          <w:rFonts w:ascii="Book Antiqua" w:hAnsi="Book Antiqua" w:cs="Book Antiqua"/>
          <w:color w:val="000000"/>
          <w:lang w:val="fr-BE"/>
        </w:rPr>
        <w:t>Soulignons que n’est plus considéré comme élève régulier au 15 janvier de l’année scolaire précédente dans l’établissement qui l’a exclu, l’élève qui fait l’objet d’une décision d’exclusion définitive à un moment quelconque de cette année, mais bien dans celui qui, le cas échéant, l’accueille après cette décision.</w:t>
      </w:r>
      <w:r>
        <w:rPr>
          <w:rStyle w:val="Caractresdenotedebasdepage"/>
          <w:rFonts w:ascii="Book Antiqua" w:hAnsi="Book Antiqua" w:cs="Book Antiqua"/>
          <w:color w:val="000000"/>
          <w:lang w:val="fr-BE"/>
        </w:rPr>
        <w:footnoteReference w:id="153"/>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La dotation ou la subvention de fonctionnement est versée à l'établissement-siège.</w:t>
      </w:r>
    </w:p>
    <w:p>
      <w:pPr>
        <w:tabs>
          <w:tab w:val="left" w:pos="-1440"/>
          <w:tab w:val="left" w:pos="-720"/>
          <w:tab w:val="left" w:pos="4820"/>
        </w:tabs>
        <w:spacing w:after="120"/>
        <w:ind w:left="1418"/>
        <w:jc w:val="both"/>
        <w:rPr>
          <w:rFonts w:ascii="Book Antiqua" w:hAnsi="Book Antiqua" w:cs="Book Antiqua"/>
          <w:color w:val="000000"/>
        </w:rPr>
      </w:pPr>
      <w:r>
        <w:rPr>
          <w:rFonts w:ascii="Book Antiqua" w:hAnsi="Book Antiqua" w:cs="Book Antiqua"/>
          <w:color w:val="000000"/>
        </w:rPr>
        <w:t xml:space="preserve">Les ressources complémentaires </w:t>
      </w:r>
      <w:proofErr w:type="spellStart"/>
      <w:r>
        <w:rPr>
          <w:rFonts w:ascii="Book Antiqua" w:hAnsi="Book Antiqua" w:cs="Book Antiqua"/>
          <w:color w:val="000000"/>
        </w:rPr>
        <w:t>proméritées</w:t>
      </w:r>
      <w:proofErr w:type="spellEnd"/>
      <w:r>
        <w:rPr>
          <w:rFonts w:ascii="Book Antiqua" w:hAnsi="Book Antiqua" w:cs="Book Antiqua"/>
          <w:color w:val="000000"/>
        </w:rPr>
        <w:t xml:space="preserve"> par le CEFA sont également versées à l'établissement-siège.</w:t>
      </w:r>
    </w:p>
    <w:p>
      <w:pPr>
        <w:tabs>
          <w:tab w:val="left" w:pos="-1440"/>
          <w:tab w:val="left" w:pos="-720"/>
          <w:tab w:val="left" w:pos="4820"/>
        </w:tabs>
        <w:spacing w:after="240"/>
        <w:ind w:left="1418"/>
        <w:jc w:val="both"/>
        <w:rPr>
          <w:rFonts w:ascii="Book Antiqua" w:hAnsi="Book Antiqua"/>
        </w:rPr>
      </w:pPr>
      <w:r>
        <w:rPr>
          <w:rFonts w:ascii="Book Antiqua" w:hAnsi="Book Antiqua"/>
        </w:rPr>
        <w:lastRenderedPageBreak/>
        <w:t xml:space="preserve">Pour rappel, il appartient au Conseil de direction de contrôler que toutes les ressources matérielles ou financières </w:t>
      </w:r>
      <w:proofErr w:type="spellStart"/>
      <w:r>
        <w:rPr>
          <w:rFonts w:ascii="Book Antiqua" w:hAnsi="Book Antiqua"/>
        </w:rPr>
        <w:t>proméritées</w:t>
      </w:r>
      <w:proofErr w:type="spellEnd"/>
      <w:r>
        <w:rPr>
          <w:rFonts w:ascii="Book Antiqua" w:hAnsi="Book Antiqua"/>
        </w:rPr>
        <w:t xml:space="preserve"> par le CEFA sont bien affectées à ses missions.</w:t>
      </w:r>
    </w:p>
    <w:p>
      <w:pPr>
        <w:pStyle w:val="niveau3"/>
      </w:pPr>
    </w:p>
    <w:p>
      <w:pPr>
        <w:pStyle w:val="niveau3"/>
      </w:pPr>
      <w:bookmarkStart w:id="66" w:name="_Toc522700785"/>
      <w:r>
        <w:t xml:space="preserve">II. </w:t>
      </w:r>
      <w:r>
        <w:rPr>
          <w:u w:val="single"/>
        </w:rPr>
        <w:t>CONSEIL ZONAL DE L’ENSEIGNEMENT SECONDAIRE EN ALTErNANCE</w:t>
      </w:r>
      <w:bookmarkEnd w:id="66"/>
    </w:p>
    <w:p>
      <w:pPr>
        <w:pStyle w:val="niveau4"/>
        <w:ind w:left="709"/>
        <w:rPr>
          <w:rFonts w:cs="Book Antiqua"/>
          <w:color w:val="000000"/>
          <w:lang w:val="fr-FR"/>
        </w:rPr>
      </w:pPr>
      <w:bookmarkStart w:id="67" w:name="_Toc522700786"/>
      <w:r>
        <w:t>1. Composition</w:t>
      </w:r>
      <w:r>
        <w:rPr>
          <w:u w:val="none"/>
        </w:rPr>
        <w:t xml:space="preserve"> </w:t>
      </w:r>
      <w:r>
        <w:rPr>
          <w:rStyle w:val="Caractresdenotedebasdepage"/>
          <w:color w:val="000000"/>
          <w:u w:val="none"/>
        </w:rPr>
        <w:footnoteReference w:id="154"/>
      </w:r>
      <w:bookmarkEnd w:id="67"/>
    </w:p>
    <w:p>
      <w:pPr>
        <w:pStyle w:val="Textebrut1"/>
        <w:widowControl/>
        <w:ind w:left="1418" w:firstLine="0"/>
        <w:rPr>
          <w:rFonts w:ascii="Book Antiqua" w:hAnsi="Book Antiqua" w:cs="Book Antiqua"/>
          <w:color w:val="000000"/>
          <w:lang w:val="fr-FR"/>
        </w:rPr>
      </w:pPr>
      <w:r>
        <w:rPr>
          <w:rFonts w:ascii="Book Antiqua" w:hAnsi="Book Antiqua" w:cs="Book Antiqua"/>
          <w:color w:val="000000"/>
          <w:lang w:val="fr-FR"/>
        </w:rPr>
        <w:t>Les coordonnateurs et deux représentants de chaque CEFA, désignés par le Conseil de direction, forment le conseil zonal de l'enseignement secondaire en alternance.</w:t>
      </w:r>
    </w:p>
    <w:p>
      <w:pPr>
        <w:pStyle w:val="Textebrut1"/>
        <w:widowControl/>
        <w:spacing w:after="60"/>
        <w:ind w:left="1418" w:firstLine="0"/>
        <w:rPr>
          <w:rFonts w:ascii="Book Antiqua" w:hAnsi="Book Antiqua" w:cs="Book Antiqua"/>
          <w:color w:val="000000"/>
          <w:lang w:val="fr-FR"/>
        </w:rPr>
      </w:pPr>
      <w:r>
        <w:rPr>
          <w:rFonts w:ascii="Book Antiqua" w:hAnsi="Book Antiqua" w:cs="Book Antiqua"/>
          <w:color w:val="000000"/>
          <w:lang w:val="fr-FR"/>
        </w:rPr>
        <w:t>Siègent également, avec voix consultative, au Conseil zonal de l'enseignement secondaire en alternance:</w:t>
      </w:r>
    </w:p>
    <w:p>
      <w:pPr>
        <w:pStyle w:val="Level1"/>
        <w:widowControl/>
        <w:numPr>
          <w:ilvl w:val="0"/>
          <w:numId w:val="44"/>
        </w:numPr>
        <w:tabs>
          <w:tab w:val="clear" w:pos="360"/>
          <w:tab w:val="left" w:pos="-1440"/>
          <w:tab w:val="num" w:pos="1069"/>
          <w:tab w:val="left" w:pos="1134"/>
        </w:tabs>
        <w:spacing w:after="60"/>
        <w:ind w:left="1778"/>
        <w:jc w:val="both"/>
        <w:rPr>
          <w:rFonts w:ascii="Book Antiqua" w:hAnsi="Book Antiqua" w:cs="Book Antiqua"/>
          <w:color w:val="000000"/>
          <w:sz w:val="20"/>
          <w:szCs w:val="20"/>
          <w:lang w:val="fr-FR"/>
        </w:rPr>
      </w:pPr>
      <w:r>
        <w:rPr>
          <w:rFonts w:ascii="Book Antiqua" w:hAnsi="Book Antiqua" w:cs="Book Antiqua"/>
          <w:color w:val="000000"/>
          <w:sz w:val="20"/>
          <w:szCs w:val="20"/>
          <w:lang w:val="fr-FR"/>
        </w:rPr>
        <w:t>deux représentants par organisation syndicale, dont un est issu du secteur enseignement, siégeant au Conseil National du Travail ;</w:t>
      </w:r>
    </w:p>
    <w:p>
      <w:pPr>
        <w:pStyle w:val="Textebrut1"/>
        <w:widowControl/>
        <w:numPr>
          <w:ilvl w:val="0"/>
          <w:numId w:val="44"/>
        </w:numPr>
        <w:tabs>
          <w:tab w:val="clear" w:pos="360"/>
          <w:tab w:val="left" w:pos="709"/>
          <w:tab w:val="num" w:pos="1069"/>
        </w:tabs>
        <w:spacing w:after="60"/>
        <w:ind w:left="1778"/>
        <w:rPr>
          <w:rFonts w:ascii="Book Antiqua" w:hAnsi="Book Antiqua" w:cs="Book Antiqua"/>
          <w:color w:val="000000"/>
          <w:lang w:val="fr-FR"/>
        </w:rPr>
      </w:pPr>
      <w:r>
        <w:rPr>
          <w:rFonts w:ascii="Book Antiqua" w:hAnsi="Book Antiqua" w:cs="Book Antiqua"/>
          <w:color w:val="000000"/>
          <w:lang w:val="fr-FR"/>
        </w:rPr>
        <w:t>un représentant de la Fédération des associations de parents de l'enseignement officiel ;</w:t>
      </w:r>
    </w:p>
    <w:p>
      <w:pPr>
        <w:pStyle w:val="Textebrut1"/>
        <w:widowControl/>
        <w:numPr>
          <w:ilvl w:val="0"/>
          <w:numId w:val="44"/>
        </w:numPr>
        <w:tabs>
          <w:tab w:val="clear" w:pos="360"/>
          <w:tab w:val="left" w:pos="709"/>
          <w:tab w:val="num" w:pos="1069"/>
        </w:tabs>
        <w:spacing w:after="120"/>
        <w:ind w:left="1778"/>
        <w:rPr>
          <w:rFonts w:ascii="Book Antiqua" w:hAnsi="Book Antiqua" w:cs="Book Antiqua"/>
          <w:color w:val="000000"/>
          <w:lang w:val="fr-FR"/>
        </w:rPr>
      </w:pPr>
      <w:r>
        <w:rPr>
          <w:rFonts w:ascii="Book Antiqua" w:hAnsi="Book Antiqua" w:cs="Book Antiqua"/>
          <w:color w:val="000000"/>
          <w:lang w:val="fr-FR"/>
        </w:rPr>
        <w:t>un représentant de l'Union des fédérations des associations de parents de l'enseignement catholique.</w:t>
      </w:r>
    </w:p>
    <w:p>
      <w:pPr>
        <w:pStyle w:val="Level1"/>
        <w:widowControl/>
        <w:tabs>
          <w:tab w:val="left" w:pos="-1440"/>
          <w:tab w:val="left" w:pos="1134"/>
        </w:tabs>
        <w:spacing w:after="240"/>
        <w:ind w:left="1418" w:firstLine="0"/>
        <w:jc w:val="both"/>
        <w:rPr>
          <w:rFonts w:ascii="Book Antiqua" w:hAnsi="Book Antiqua" w:cs="Book Antiqua"/>
          <w:color w:val="000000"/>
          <w:sz w:val="20"/>
          <w:szCs w:val="20"/>
          <w:lang w:val="fr-FR"/>
        </w:rPr>
      </w:pPr>
      <w:r>
        <w:rPr>
          <w:rFonts w:ascii="Book Antiqua" w:hAnsi="Book Antiqua" w:cs="Book Antiqua"/>
          <w:color w:val="000000"/>
          <w:sz w:val="20"/>
          <w:szCs w:val="20"/>
          <w:lang w:val="fr-FR"/>
        </w:rPr>
        <w:t>Le Conseil zonal de l'alternance est présidé alternativement par un coordonnateur de chaque caractère d'enseignement. Toutefois, sur décision du Conseil de direction concerné, la présidence peut être attribuée à un représentant dudit conseil (voir annexe III pour les coordonnées de contact des différentes zones ainsi que les communes qui composent chacune de celles-ci).</w:t>
      </w:r>
    </w:p>
    <w:p>
      <w:pPr>
        <w:pStyle w:val="niveau4"/>
        <w:ind w:left="709"/>
        <w:rPr>
          <w:rFonts w:cs="Book Antiqua"/>
          <w:color w:val="000000"/>
          <w:lang w:val="fr-FR"/>
        </w:rPr>
      </w:pPr>
      <w:bookmarkStart w:id="68" w:name="_Toc522700787"/>
      <w:r>
        <w:t>2. Fonctionnement</w:t>
      </w:r>
      <w:r>
        <w:rPr>
          <w:u w:val="none"/>
        </w:rPr>
        <w:t xml:space="preserve"> </w:t>
      </w:r>
      <w:r>
        <w:rPr>
          <w:rStyle w:val="Caractresdenotedebasdepage"/>
          <w:color w:val="000000"/>
          <w:u w:val="none"/>
        </w:rPr>
        <w:footnoteReference w:id="155"/>
      </w:r>
      <w:bookmarkEnd w:id="68"/>
    </w:p>
    <w:p>
      <w:pPr>
        <w:pStyle w:val="Textebrut1"/>
        <w:widowControl/>
        <w:ind w:left="1418" w:firstLine="0"/>
        <w:rPr>
          <w:rFonts w:ascii="Book Antiqua" w:hAnsi="Book Antiqua" w:cs="Book Antiqua"/>
          <w:color w:val="000000"/>
          <w:lang w:val="fr-FR"/>
        </w:rPr>
      </w:pPr>
      <w:r>
        <w:rPr>
          <w:rFonts w:ascii="Book Antiqua" w:hAnsi="Book Antiqua" w:cs="Book Antiqua"/>
          <w:color w:val="000000"/>
          <w:lang w:val="fr-FR"/>
        </w:rPr>
        <w:t xml:space="preserve">Le Conseil zonal de l'alternance prend ses décisions par consensus. A défaut, il transmet au Conseil général de concertation pour l'enseignement secondaire les différentes propositions de décision mises en délibération qui n'ont pas réuni le consensus. </w:t>
      </w:r>
    </w:p>
    <w:p>
      <w:pPr>
        <w:pStyle w:val="Textebrut1"/>
        <w:widowControl/>
        <w:spacing w:after="240"/>
        <w:ind w:left="1418" w:firstLine="0"/>
        <w:rPr>
          <w:rFonts w:ascii="Book Antiqua" w:hAnsi="Book Antiqua" w:cs="Book Antiqua"/>
          <w:color w:val="000000"/>
          <w:lang w:val="fr-FR"/>
        </w:rPr>
      </w:pPr>
      <w:r>
        <w:rPr>
          <w:rFonts w:ascii="Book Antiqua" w:hAnsi="Book Antiqua" w:cs="Book Antiqua"/>
          <w:color w:val="000000"/>
          <w:lang w:val="fr-FR"/>
        </w:rPr>
        <w:t>Le Conseil général prend la décision sur l'objet en débat.</w:t>
      </w:r>
    </w:p>
    <w:p>
      <w:pPr>
        <w:pStyle w:val="niveau4"/>
        <w:ind w:left="709"/>
        <w:rPr>
          <w:rFonts w:cs="Book Antiqua"/>
          <w:color w:val="000000"/>
          <w:lang w:val="fr-FR"/>
        </w:rPr>
      </w:pPr>
      <w:bookmarkStart w:id="69" w:name="_Toc522700788"/>
      <w:r>
        <w:t>3. Missions</w:t>
      </w:r>
      <w:r>
        <w:rPr>
          <w:u w:val="none"/>
        </w:rPr>
        <w:t xml:space="preserve"> </w:t>
      </w:r>
      <w:r>
        <w:rPr>
          <w:rStyle w:val="Caractresdenotedebasdepage"/>
          <w:color w:val="000000"/>
          <w:u w:val="none"/>
        </w:rPr>
        <w:footnoteReference w:id="156"/>
      </w:r>
      <w:bookmarkEnd w:id="69"/>
    </w:p>
    <w:p>
      <w:pPr>
        <w:pStyle w:val="Textebrut1"/>
        <w:widowControl/>
        <w:tabs>
          <w:tab w:val="left" w:pos="993"/>
        </w:tabs>
        <w:spacing w:after="60"/>
        <w:ind w:left="1702" w:hanging="284"/>
        <w:rPr>
          <w:rFonts w:ascii="Book Antiqua" w:hAnsi="Book Antiqua" w:cs="Book Antiqua"/>
          <w:color w:val="000000"/>
          <w:lang w:val="fr-FR"/>
        </w:rPr>
      </w:pPr>
      <w:r>
        <w:rPr>
          <w:rFonts w:ascii="Book Antiqua" w:hAnsi="Book Antiqua" w:cs="Book Antiqua"/>
          <w:color w:val="000000"/>
          <w:lang w:val="fr-FR"/>
        </w:rPr>
        <w:t>Le Conseil zonal de l'alternance:</w:t>
      </w:r>
    </w:p>
    <w:p>
      <w:pPr>
        <w:pStyle w:val="Textebrut1"/>
        <w:widowControl/>
        <w:numPr>
          <w:ilvl w:val="0"/>
          <w:numId w:val="44"/>
        </w:numPr>
        <w:tabs>
          <w:tab w:val="clear" w:pos="360"/>
          <w:tab w:val="left" w:pos="993"/>
          <w:tab w:val="num" w:pos="1069"/>
          <w:tab w:val="left" w:pos="1494"/>
        </w:tabs>
        <w:spacing w:after="60"/>
        <w:ind w:left="1702" w:hanging="284"/>
        <w:rPr>
          <w:rFonts w:ascii="Book Antiqua" w:hAnsi="Book Antiqua" w:cs="Book Antiqua"/>
          <w:color w:val="000000"/>
          <w:lang w:val="fr-FR"/>
        </w:rPr>
      </w:pPr>
      <w:r>
        <w:rPr>
          <w:rFonts w:ascii="Book Antiqua" w:hAnsi="Book Antiqua" w:cs="Book Antiqua"/>
          <w:color w:val="000000"/>
          <w:lang w:val="fr-FR"/>
        </w:rPr>
        <w:t>coordonne la recherche de contrats et conventions auprès des entreprises de la zone ;</w:t>
      </w:r>
    </w:p>
    <w:p>
      <w:pPr>
        <w:pStyle w:val="Textebrut1"/>
        <w:widowControl/>
        <w:numPr>
          <w:ilvl w:val="0"/>
          <w:numId w:val="44"/>
        </w:numPr>
        <w:tabs>
          <w:tab w:val="clear" w:pos="360"/>
          <w:tab w:val="left" w:pos="993"/>
          <w:tab w:val="num" w:pos="1069"/>
          <w:tab w:val="left" w:pos="1494"/>
        </w:tabs>
        <w:spacing w:after="60"/>
        <w:ind w:left="1702" w:hanging="284"/>
        <w:rPr>
          <w:rFonts w:ascii="Book Antiqua" w:hAnsi="Book Antiqua" w:cs="Book Antiqua"/>
          <w:color w:val="000000"/>
          <w:lang w:val="fr-FR"/>
        </w:rPr>
      </w:pPr>
      <w:r>
        <w:rPr>
          <w:rFonts w:ascii="Book Antiqua" w:hAnsi="Book Antiqua" w:cs="Book Antiqua"/>
          <w:color w:val="000000"/>
          <w:lang w:val="fr-FR"/>
        </w:rPr>
        <w:t>favorise les recherches de contrats et conventions auprès des entreprises d'autres zones et ce, après avoir pris contact avec le Conseil zonal de l'enseignement secondaire en alternance de la zone concernée et autant que faire se peut, en accord avec lui ;</w:t>
      </w:r>
    </w:p>
    <w:p>
      <w:pPr>
        <w:pStyle w:val="Textebrut1"/>
        <w:widowControl/>
        <w:numPr>
          <w:ilvl w:val="0"/>
          <w:numId w:val="44"/>
        </w:numPr>
        <w:tabs>
          <w:tab w:val="clear" w:pos="360"/>
          <w:tab w:val="left" w:pos="993"/>
          <w:tab w:val="num" w:pos="1069"/>
          <w:tab w:val="left" w:pos="1494"/>
        </w:tabs>
        <w:spacing w:after="60"/>
        <w:ind w:left="1702" w:hanging="284"/>
        <w:rPr>
          <w:rFonts w:ascii="Book Antiqua" w:hAnsi="Book Antiqua" w:cs="Book Antiqua"/>
          <w:color w:val="000000"/>
          <w:lang w:val="fr-FR"/>
        </w:rPr>
      </w:pPr>
      <w:r>
        <w:rPr>
          <w:rFonts w:ascii="Book Antiqua" w:hAnsi="Book Antiqua" w:cs="Book Antiqua"/>
          <w:color w:val="000000"/>
          <w:lang w:val="fr-FR"/>
        </w:rPr>
        <w:t>veille au respect des dispositions légales, décrétales et réglementaires en la matière ;</w:t>
      </w:r>
    </w:p>
    <w:p>
      <w:pPr>
        <w:pStyle w:val="Textebrut1"/>
        <w:widowControl/>
        <w:numPr>
          <w:ilvl w:val="0"/>
          <w:numId w:val="44"/>
        </w:numPr>
        <w:tabs>
          <w:tab w:val="clear" w:pos="360"/>
          <w:tab w:val="left" w:pos="993"/>
          <w:tab w:val="num" w:pos="1069"/>
        </w:tabs>
        <w:spacing w:after="60"/>
        <w:ind w:left="1702" w:hanging="284"/>
        <w:rPr>
          <w:rFonts w:ascii="Book Antiqua" w:hAnsi="Book Antiqua" w:cs="Book Antiqua"/>
          <w:color w:val="000000"/>
          <w:lang w:val="fr-FR"/>
        </w:rPr>
      </w:pPr>
      <w:r>
        <w:rPr>
          <w:rFonts w:ascii="Book Antiqua" w:hAnsi="Book Antiqua" w:cs="Book Antiqua"/>
          <w:color w:val="000000"/>
          <w:lang w:val="fr-FR"/>
        </w:rPr>
        <w:t>peut décider d'affecter, à la coordination des contrats et conventions avec les entreprises, des accompagnateurs des différents CEFA. Pour que la décision soit exécutable, elle doit être ratifiée par les différents conseils de direction ;</w:t>
      </w:r>
    </w:p>
    <w:p>
      <w:pPr>
        <w:pStyle w:val="Textebrut1"/>
        <w:widowControl/>
        <w:numPr>
          <w:ilvl w:val="0"/>
          <w:numId w:val="44"/>
        </w:numPr>
        <w:tabs>
          <w:tab w:val="clear" w:pos="360"/>
          <w:tab w:val="left" w:pos="993"/>
          <w:tab w:val="num" w:pos="1069"/>
        </w:tabs>
        <w:spacing w:after="60"/>
        <w:ind w:left="1702" w:hanging="284"/>
        <w:rPr>
          <w:rFonts w:ascii="Book Antiqua" w:hAnsi="Book Antiqua" w:cs="Book Antiqua"/>
          <w:color w:val="000000"/>
          <w:lang w:val="fr-FR"/>
        </w:rPr>
      </w:pPr>
      <w:r>
        <w:rPr>
          <w:rFonts w:ascii="Book Antiqua" w:hAnsi="Book Antiqua" w:cs="Book Antiqua"/>
          <w:color w:val="000000"/>
          <w:lang w:val="fr-FR"/>
        </w:rPr>
        <w:t>noue, s'il l'estime nécessaire, des contacts avec les représentants des partenaires sociaux actifs au sein de la zone, notamment pour ce qui concerne les contrats et conventions ;</w:t>
      </w:r>
    </w:p>
    <w:p>
      <w:pPr>
        <w:pStyle w:val="Textebrut1"/>
        <w:widowControl/>
        <w:spacing w:after="120"/>
        <w:ind w:left="1418" w:firstLine="11"/>
        <w:rPr>
          <w:rFonts w:ascii="Book Antiqua" w:hAnsi="Book Antiqua" w:cs="Book Antiqua"/>
          <w:color w:val="000000"/>
          <w:lang w:val="fr-FR"/>
        </w:rPr>
      </w:pPr>
      <w:r>
        <w:rPr>
          <w:rFonts w:ascii="Book Antiqua" w:hAnsi="Book Antiqua" w:cs="Book Antiqua"/>
          <w:color w:val="000000"/>
          <w:lang w:val="fr-FR"/>
        </w:rPr>
        <w:t>Pour tout ce qui regarde l'alternance, le Conseil zonal de l'enseignement secondaire en alternance est le représentant des CEFA à l'égard des Comités subrégionaux de l'emploi et de la Formation en Région wallonne et des autorités compétentes en matière d'emploi en Région de Bruxelles-Capitale.</w:t>
      </w:r>
    </w:p>
    <w:p>
      <w:pPr>
        <w:pStyle w:val="niveau4"/>
        <w:pageBreakBefore/>
        <w:ind w:left="709"/>
        <w:rPr>
          <w:rFonts w:cs="Book Antiqua"/>
          <w:color w:val="000000"/>
          <w:lang w:val="fr-FR"/>
        </w:rPr>
      </w:pPr>
      <w:bookmarkStart w:id="70" w:name="_Toc522700789"/>
      <w:r>
        <w:lastRenderedPageBreak/>
        <w:t>4. Rapport annuel</w:t>
      </w:r>
      <w:r>
        <w:rPr>
          <w:u w:val="none"/>
        </w:rPr>
        <w:t xml:space="preserve"> </w:t>
      </w:r>
      <w:r>
        <w:rPr>
          <w:rStyle w:val="Caractresdenotedebasdepage"/>
          <w:color w:val="000000"/>
          <w:u w:val="none"/>
          <w:lang w:val="fr-FR"/>
        </w:rPr>
        <w:footnoteReference w:id="157"/>
      </w:r>
      <w:bookmarkEnd w:id="70"/>
    </w:p>
    <w:p>
      <w:pPr>
        <w:pStyle w:val="Textebrut1"/>
        <w:widowControl/>
        <w:tabs>
          <w:tab w:val="left" w:pos="993"/>
        </w:tabs>
        <w:spacing w:after="120"/>
        <w:ind w:left="1429" w:firstLine="0"/>
        <w:rPr>
          <w:rFonts w:ascii="Book Antiqua" w:hAnsi="Book Antiqua" w:cs="Book Antiqua"/>
          <w:color w:val="000000"/>
          <w:lang w:val="fr-FR"/>
        </w:rPr>
      </w:pPr>
      <w:r>
        <w:rPr>
          <w:rFonts w:ascii="Book Antiqua" w:hAnsi="Book Antiqua" w:cs="Book Antiqua"/>
          <w:color w:val="000000"/>
          <w:lang w:val="fr-FR"/>
        </w:rPr>
        <w:t>Le Conseil zonal établit chaque année un rapport quantitatif et qualitatif sur l'enseignement secondaire en alternance dans la zone. Ce rapport est transmis au Conseil général de concertation pour le 10 mai 2019 au plus tard à l’adresse suivante :</w:t>
      </w:r>
    </w:p>
    <w:p>
      <w:pPr>
        <w:pStyle w:val="Corpsdetexte31"/>
        <w:tabs>
          <w:tab w:val="left" w:pos="360"/>
        </w:tabs>
        <w:ind w:left="1429"/>
        <w:rPr>
          <w:rFonts w:ascii="Book Antiqua" w:hAnsi="Book Antiqua" w:cs="Book Antiqua"/>
          <w:i/>
          <w:iCs/>
          <w:color w:val="000000"/>
          <w:sz w:val="20"/>
          <w:u w:val="none"/>
        </w:rPr>
      </w:pPr>
      <w:r>
        <w:rPr>
          <w:rFonts w:ascii="Book Antiqua" w:hAnsi="Book Antiqua" w:cs="Book Antiqua"/>
          <w:i/>
          <w:iCs/>
          <w:color w:val="000000"/>
          <w:sz w:val="20"/>
          <w:u w:val="none"/>
        </w:rPr>
        <w:t xml:space="preserve">Monsieur le Président du </w:t>
      </w:r>
    </w:p>
    <w:p>
      <w:pPr>
        <w:pStyle w:val="Corpsdetexte31"/>
        <w:tabs>
          <w:tab w:val="left" w:pos="360"/>
        </w:tabs>
        <w:ind w:left="1429"/>
        <w:rPr>
          <w:rFonts w:ascii="Book Antiqua" w:hAnsi="Book Antiqua" w:cs="Book Antiqua"/>
          <w:i/>
          <w:iCs/>
          <w:color w:val="000000"/>
          <w:sz w:val="20"/>
          <w:u w:val="none"/>
        </w:rPr>
      </w:pPr>
      <w:r>
        <w:rPr>
          <w:rFonts w:ascii="Book Antiqua" w:hAnsi="Book Antiqua" w:cs="Book Antiqua"/>
          <w:i/>
          <w:iCs/>
          <w:color w:val="000000"/>
          <w:sz w:val="20"/>
          <w:u w:val="none"/>
        </w:rPr>
        <w:t>Conseil général de concertation pour l’enseignement secondaire</w:t>
      </w:r>
    </w:p>
    <w:p>
      <w:pPr>
        <w:pStyle w:val="Corpsdetexte31"/>
        <w:tabs>
          <w:tab w:val="left" w:pos="360"/>
        </w:tabs>
        <w:ind w:left="1429"/>
        <w:rPr>
          <w:rFonts w:ascii="Book Antiqua" w:hAnsi="Book Antiqua" w:cs="Book Antiqua"/>
          <w:i/>
          <w:iCs/>
          <w:color w:val="000000"/>
          <w:sz w:val="20"/>
          <w:u w:val="none"/>
        </w:rPr>
      </w:pPr>
      <w:r>
        <w:rPr>
          <w:rFonts w:ascii="Book Antiqua" w:hAnsi="Book Antiqua" w:cs="Book Antiqua"/>
          <w:i/>
          <w:iCs/>
          <w:color w:val="000000"/>
          <w:sz w:val="20"/>
          <w:u w:val="none"/>
        </w:rPr>
        <w:t>Local 1F108</w:t>
      </w:r>
    </w:p>
    <w:p>
      <w:pPr>
        <w:pStyle w:val="Corpsdetexte31"/>
        <w:tabs>
          <w:tab w:val="left" w:pos="360"/>
        </w:tabs>
        <w:ind w:left="1429"/>
        <w:rPr>
          <w:rFonts w:ascii="Book Antiqua" w:hAnsi="Book Antiqua" w:cs="Book Antiqua"/>
          <w:i/>
          <w:iCs/>
          <w:color w:val="000000"/>
          <w:sz w:val="20"/>
          <w:u w:val="none"/>
        </w:rPr>
      </w:pPr>
      <w:r>
        <w:rPr>
          <w:rFonts w:ascii="Book Antiqua" w:hAnsi="Book Antiqua" w:cs="Book Antiqua"/>
          <w:i/>
          <w:iCs/>
          <w:color w:val="000000"/>
          <w:sz w:val="20"/>
          <w:u w:val="none"/>
        </w:rPr>
        <w:t>Rue Adolphe Lavallée, 1</w:t>
      </w:r>
    </w:p>
    <w:p>
      <w:pPr>
        <w:pStyle w:val="Textebrut1"/>
        <w:widowControl/>
        <w:tabs>
          <w:tab w:val="left" w:pos="360"/>
          <w:tab w:val="left" w:pos="993"/>
        </w:tabs>
        <w:ind w:left="1429" w:firstLine="0"/>
        <w:jc w:val="center"/>
        <w:rPr>
          <w:rFonts w:ascii="Book Antiqua" w:hAnsi="Book Antiqua" w:cs="Book Antiqua"/>
          <w:i/>
          <w:iCs/>
          <w:color w:val="000000"/>
          <w:lang w:val="fr-FR"/>
        </w:rPr>
      </w:pPr>
      <w:r>
        <w:rPr>
          <w:rFonts w:ascii="Book Antiqua" w:hAnsi="Book Antiqua" w:cs="Book Antiqua"/>
          <w:i/>
          <w:iCs/>
          <w:color w:val="000000"/>
          <w:lang w:val="fr-FR"/>
        </w:rPr>
        <w:t>1080 BRUXELLES</w:t>
      </w:r>
    </w:p>
    <w:p>
      <w:pPr>
        <w:pStyle w:val="Textebrut1"/>
        <w:widowControl/>
        <w:tabs>
          <w:tab w:val="left" w:pos="993"/>
        </w:tabs>
        <w:spacing w:before="240"/>
        <w:ind w:left="1429" w:firstLine="0"/>
        <w:jc w:val="left"/>
        <w:rPr>
          <w:rFonts w:ascii="Book Antiqua" w:hAnsi="Book Antiqua" w:cs="Book Antiqua"/>
          <w:lang w:val="fr-FR"/>
        </w:rPr>
        <w:sectPr>
          <w:footerReference w:type="default" r:id="rId32"/>
          <w:type w:val="oddPage"/>
          <w:pgSz w:w="11906" w:h="16838"/>
          <w:pgMar w:top="907" w:right="1134" w:bottom="907" w:left="1276" w:header="851" w:footer="851" w:gutter="0"/>
          <w:cols w:space="720"/>
          <w:docGrid w:linePitch="360"/>
        </w:sectPr>
      </w:pPr>
      <w:r>
        <w:rPr>
          <w:rFonts w:ascii="Book Antiqua" w:hAnsi="Book Antiqua" w:cs="Book Antiqua"/>
          <w:lang w:val="fr-FR"/>
        </w:rPr>
        <w:t xml:space="preserve">La composition du Conseil zonal, </w:t>
      </w:r>
      <w:r>
        <w:rPr>
          <w:rFonts w:ascii="Book Antiqua" w:hAnsi="Book Antiqua" w:cs="Book Antiqua"/>
          <w:u w:val="single"/>
          <w:lang w:val="fr-FR"/>
        </w:rPr>
        <w:t>pour l’année scolaire 2018-2019</w:t>
      </w:r>
      <w:r>
        <w:rPr>
          <w:rFonts w:ascii="Book Antiqua" w:hAnsi="Book Antiqua" w:cs="Book Antiqua"/>
          <w:lang w:val="fr-FR"/>
        </w:rPr>
        <w:t>, sera jointe au rapport précité. On évitera, à l’avenir, de modifier la composition d’un conseil zonal en cours d’année scolaire.</w:t>
      </w:r>
    </w:p>
    <w:p>
      <w:pPr>
        <w:pStyle w:val="niveau2"/>
        <w:spacing w:after="360"/>
        <w:ind w:left="709"/>
        <w:rPr>
          <w:color w:val="000000"/>
        </w:rPr>
      </w:pPr>
      <w:bookmarkStart w:id="71" w:name="_Toc522700790"/>
      <w:r>
        <w:rPr>
          <w:color w:val="000000"/>
        </w:rPr>
        <w:lastRenderedPageBreak/>
        <w:t>CHAPITRE V : DISPOSITIONS RELATIVES A L'ORGANISATION DE CERTAINS COURS</w:t>
      </w:r>
      <w:bookmarkEnd w:id="71"/>
    </w:p>
    <w:p>
      <w:pPr>
        <w:pStyle w:val="niveau3"/>
        <w:ind w:left="709"/>
        <w:rPr>
          <w:spacing w:val="-2"/>
        </w:rPr>
      </w:pPr>
      <w:bookmarkStart w:id="72" w:name="_Toc522700791"/>
      <w:r>
        <w:t xml:space="preserve">i. </w:t>
      </w:r>
      <w:r>
        <w:rPr>
          <w:u w:val="single"/>
        </w:rPr>
        <w:t>Possibilités de regroupement</w:t>
      </w:r>
      <w:bookmarkEnd w:id="72"/>
      <w:r>
        <w:rPr>
          <w:spacing w:val="-2"/>
        </w:rPr>
        <w:t xml:space="preserve"> </w:t>
      </w:r>
    </w:p>
    <w:p>
      <w:pPr>
        <w:tabs>
          <w:tab w:val="left" w:pos="284"/>
          <w:tab w:val="left" w:pos="1315"/>
          <w:tab w:val="left" w:pos="1752"/>
          <w:tab w:val="left" w:pos="1922"/>
          <w:tab w:val="left" w:pos="2268"/>
          <w:tab w:val="left" w:pos="5335"/>
        </w:tabs>
        <w:spacing w:after="120" w:line="240" w:lineRule="atLeast"/>
        <w:ind w:left="993"/>
        <w:jc w:val="both"/>
        <w:rPr>
          <w:rFonts w:ascii="Book Antiqua" w:hAnsi="Book Antiqua" w:cs="Book Antiqua"/>
          <w:color w:val="000000"/>
          <w:spacing w:val="-2"/>
        </w:rPr>
      </w:pPr>
      <w:r>
        <w:rPr>
          <w:rFonts w:ascii="Book Antiqua" w:hAnsi="Book Antiqua" w:cs="Book Antiqua"/>
          <w:color w:val="000000"/>
          <w:spacing w:val="-2"/>
        </w:rPr>
        <w:t>Les élèves qui suivent un enseignement visé à l’article 2</w:t>
      </w:r>
      <w:r>
        <w:rPr>
          <w:rFonts w:ascii="Book Antiqua" w:hAnsi="Book Antiqua" w:cs="Book Antiqua"/>
          <w:i/>
          <w:color w:val="000000"/>
          <w:spacing w:val="-2"/>
        </w:rPr>
        <w:t>bis</w:t>
      </w:r>
      <w:r>
        <w:rPr>
          <w:rFonts w:ascii="Book Antiqua" w:hAnsi="Book Antiqua" w:cs="Book Antiqua"/>
          <w:color w:val="000000"/>
          <w:spacing w:val="-2"/>
        </w:rPr>
        <w:t>, §1</w:t>
      </w:r>
      <w:r>
        <w:rPr>
          <w:rFonts w:ascii="Book Antiqua" w:hAnsi="Book Antiqua" w:cs="Book Antiqua"/>
          <w:color w:val="000000"/>
          <w:spacing w:val="-2"/>
          <w:vertAlign w:val="superscript"/>
        </w:rPr>
        <w:t>er</w:t>
      </w:r>
      <w:r>
        <w:rPr>
          <w:rFonts w:ascii="Book Antiqua" w:hAnsi="Book Antiqua" w:cs="Book Antiqua"/>
          <w:color w:val="000000"/>
          <w:spacing w:val="-2"/>
        </w:rPr>
        <w:t>, 1° (« article 49 ») peuvent être regroupés avec ceux de l’enseignement de plein exercice, au sein d’un même établissement</w:t>
      </w:r>
      <w:r>
        <w:rPr>
          <w:rStyle w:val="Caractresdenotedebasdepage"/>
          <w:rFonts w:ascii="Book Antiqua" w:hAnsi="Book Antiqua" w:cs="Book Antiqua"/>
          <w:color w:val="000000"/>
          <w:spacing w:val="-2"/>
        </w:rPr>
        <w:footnoteReference w:id="158"/>
      </w:r>
      <w:r>
        <w:rPr>
          <w:rFonts w:ascii="Book Antiqua" w:hAnsi="Book Antiqua" w:cs="Book Antiqua"/>
          <w:color w:val="000000"/>
          <w:spacing w:val="-2"/>
        </w:rPr>
        <w:t xml:space="preserve">. Il en résulte donc que les regroupements suivants </w:t>
      </w:r>
      <w:r>
        <w:rPr>
          <w:rFonts w:ascii="Book Antiqua" w:hAnsi="Book Antiqua" w:cs="Book Antiqua"/>
          <w:color w:val="000000"/>
          <w:spacing w:val="-2"/>
          <w:u w:val="single"/>
        </w:rPr>
        <w:t>ne sont pas autorisés</w:t>
      </w:r>
      <w:r>
        <w:rPr>
          <w:rFonts w:ascii="Book Antiqua" w:hAnsi="Book Antiqua" w:cs="Book Antiqua"/>
          <w:color w:val="000000"/>
          <w:spacing w:val="-2"/>
        </w:rPr>
        <w:t xml:space="preserve"> : </w:t>
      </w:r>
    </w:p>
    <w:p>
      <w:pPr>
        <w:numPr>
          <w:ilvl w:val="0"/>
          <w:numId w:val="33"/>
        </w:numPr>
        <w:tabs>
          <w:tab w:val="clear" w:pos="1004"/>
          <w:tab w:val="left" w:pos="284"/>
          <w:tab w:val="left" w:pos="1315"/>
          <w:tab w:val="num" w:pos="1713"/>
          <w:tab w:val="left" w:pos="1752"/>
          <w:tab w:val="left" w:pos="1922"/>
          <w:tab w:val="left" w:pos="2268"/>
          <w:tab w:val="left" w:pos="5335"/>
        </w:tabs>
        <w:spacing w:after="120" w:line="240" w:lineRule="atLeast"/>
        <w:ind w:left="1713"/>
        <w:jc w:val="both"/>
        <w:rPr>
          <w:rFonts w:ascii="Book Antiqua" w:hAnsi="Book Antiqua" w:cs="Book Antiqua"/>
          <w:color w:val="000000"/>
          <w:spacing w:val="-2"/>
        </w:rPr>
      </w:pPr>
      <w:r>
        <w:rPr>
          <w:rFonts w:ascii="Book Antiqua" w:hAnsi="Book Antiqua" w:cs="Book Antiqua"/>
          <w:color w:val="000000"/>
          <w:spacing w:val="-2"/>
        </w:rPr>
        <w:t>les regroupements entre les élèves qui suivent un enseignement visé à l’article 2bis, §1</w:t>
      </w:r>
      <w:r>
        <w:rPr>
          <w:rFonts w:ascii="Book Antiqua" w:hAnsi="Book Antiqua" w:cs="Book Antiqua"/>
          <w:color w:val="000000"/>
          <w:spacing w:val="-2"/>
          <w:vertAlign w:val="superscript"/>
        </w:rPr>
        <w:t>er</w:t>
      </w:r>
      <w:r>
        <w:rPr>
          <w:rFonts w:ascii="Book Antiqua" w:hAnsi="Book Antiqua" w:cs="Book Antiqua"/>
          <w:color w:val="000000"/>
          <w:spacing w:val="-2"/>
        </w:rPr>
        <w:t>, 2° (« article 45 ») et ceux qui suivent l’enseignement de plein exercice ;</w:t>
      </w:r>
    </w:p>
    <w:p>
      <w:pPr>
        <w:numPr>
          <w:ilvl w:val="0"/>
          <w:numId w:val="33"/>
        </w:numPr>
        <w:tabs>
          <w:tab w:val="clear" w:pos="1004"/>
          <w:tab w:val="left" w:pos="284"/>
          <w:tab w:val="left" w:pos="1315"/>
          <w:tab w:val="num" w:pos="1713"/>
          <w:tab w:val="left" w:pos="1752"/>
          <w:tab w:val="left" w:pos="1922"/>
          <w:tab w:val="left" w:pos="2268"/>
          <w:tab w:val="left" w:pos="5335"/>
        </w:tabs>
        <w:spacing w:after="120" w:line="240" w:lineRule="atLeast"/>
        <w:ind w:left="1713"/>
        <w:jc w:val="both"/>
        <w:rPr>
          <w:rFonts w:ascii="Book Antiqua" w:hAnsi="Book Antiqua" w:cs="Book Antiqua"/>
          <w:color w:val="000000"/>
          <w:spacing w:val="-2"/>
        </w:rPr>
      </w:pPr>
      <w:r>
        <w:rPr>
          <w:rFonts w:ascii="Book Antiqua" w:hAnsi="Book Antiqua" w:cs="Book Antiqua"/>
          <w:color w:val="000000"/>
          <w:spacing w:val="-2"/>
        </w:rPr>
        <w:t>les regroupements entre les élèves qui suivent un enseignement visé à l’article 2bis, §1</w:t>
      </w:r>
      <w:r>
        <w:rPr>
          <w:rFonts w:ascii="Book Antiqua" w:hAnsi="Book Antiqua" w:cs="Book Antiqua"/>
          <w:color w:val="000000"/>
          <w:spacing w:val="-2"/>
          <w:vertAlign w:val="superscript"/>
        </w:rPr>
        <w:t>er</w:t>
      </w:r>
      <w:r>
        <w:rPr>
          <w:rFonts w:ascii="Book Antiqua" w:hAnsi="Book Antiqua" w:cs="Book Antiqua"/>
          <w:color w:val="000000"/>
          <w:spacing w:val="-2"/>
        </w:rPr>
        <w:t>, 2° (« article 45 ») et ceux qui suivent un enseignement visé à l’article 2bis, §1</w:t>
      </w:r>
      <w:r>
        <w:rPr>
          <w:rFonts w:ascii="Book Antiqua" w:hAnsi="Book Antiqua" w:cs="Book Antiqua"/>
          <w:color w:val="000000"/>
          <w:spacing w:val="-2"/>
          <w:vertAlign w:val="superscript"/>
        </w:rPr>
        <w:t>er</w:t>
      </w:r>
      <w:r>
        <w:rPr>
          <w:rFonts w:ascii="Book Antiqua" w:hAnsi="Book Antiqua" w:cs="Book Antiqua"/>
          <w:color w:val="000000"/>
          <w:spacing w:val="-2"/>
        </w:rPr>
        <w:t>, 1° (« article 49 ») sauf dans le cadre des cours de l’option de base groupée.</w:t>
      </w:r>
    </w:p>
    <w:p>
      <w:pPr>
        <w:spacing w:before="120" w:after="120"/>
        <w:ind w:left="993"/>
        <w:jc w:val="both"/>
        <w:rPr>
          <w:rFonts w:ascii="Book Antiqua" w:hAnsi="Book Antiqua" w:cs="Book Antiqua"/>
          <w:color w:val="000000"/>
        </w:rPr>
      </w:pPr>
      <w:r>
        <w:rPr>
          <w:rFonts w:ascii="Book Antiqua" w:hAnsi="Book Antiqua" w:cs="Book Antiqua"/>
          <w:color w:val="000000"/>
        </w:rPr>
        <w:t>En regard des dispositions applicables à l’enseignement secondaire de plein exercice</w:t>
      </w:r>
      <w:r>
        <w:rPr>
          <w:rStyle w:val="Caractresdenotedebasdepage"/>
          <w:rFonts w:ascii="Book Antiqua" w:hAnsi="Book Antiqua" w:cs="Book Antiqua"/>
          <w:color w:val="000000"/>
        </w:rPr>
        <w:footnoteReference w:id="159"/>
      </w:r>
      <w:r>
        <w:rPr>
          <w:rFonts w:ascii="Book Antiqua" w:hAnsi="Book Antiqua" w:cs="Book Antiqua"/>
          <w:color w:val="000000"/>
        </w:rPr>
        <w:t>, des élèves d'années d'études ou d'options différentes peuvent être groupés au sein d’un même établissement qui organise l’enseignement secondaire. Un établissement d'enseignement secondaire en alternance « article 49 » peut également autoriser un élève à suivre un ou des cours de langues modernes dans un établissement coopérant.</w:t>
      </w:r>
    </w:p>
    <w:p>
      <w:pPr>
        <w:pStyle w:val="niveau3"/>
        <w:spacing w:after="0"/>
        <w:ind w:left="709"/>
        <w:rPr>
          <w:color w:val="000000"/>
          <w:spacing w:val="-2"/>
        </w:rPr>
      </w:pPr>
      <w:bookmarkStart w:id="73" w:name="_Toc522700792"/>
      <w:r>
        <w:t xml:space="preserve">II. </w:t>
      </w:r>
      <w:r>
        <w:rPr>
          <w:u w:val="single"/>
        </w:rPr>
        <w:t>Cours de langue moderne</w:t>
      </w:r>
      <w:r>
        <w:t xml:space="preserve"> </w:t>
      </w:r>
      <w:r>
        <w:rPr>
          <w:rStyle w:val="Caractresdenotedebasdepage"/>
          <w:rFonts w:cs="Book Antiqua"/>
          <w:color w:val="000000"/>
        </w:rPr>
        <w:footnoteReference w:id="160"/>
      </w:r>
      <w:bookmarkEnd w:id="73"/>
    </w:p>
    <w:p>
      <w:pPr>
        <w:tabs>
          <w:tab w:val="left" w:pos="1315"/>
          <w:tab w:val="left" w:pos="1594"/>
          <w:tab w:val="left" w:pos="1752"/>
          <w:tab w:val="left" w:pos="1922"/>
          <w:tab w:val="left" w:pos="5335"/>
        </w:tabs>
        <w:spacing w:before="120" w:after="360" w:line="240" w:lineRule="atLeast"/>
        <w:ind w:left="992"/>
        <w:jc w:val="both"/>
        <w:rPr>
          <w:rFonts w:ascii="Book Antiqua" w:hAnsi="Book Antiqua" w:cs="Book Antiqua"/>
          <w:color w:val="000000"/>
          <w:spacing w:val="-2"/>
        </w:rPr>
      </w:pPr>
      <w:r>
        <w:rPr>
          <w:rFonts w:ascii="Book Antiqua" w:hAnsi="Book Antiqua" w:cs="Book Antiqua"/>
          <w:color w:val="000000"/>
          <w:spacing w:val="-2"/>
        </w:rPr>
        <w:t>Dans les établissements d’enseignement secondaire de l’arrondissement de Bruxelles-Capitale où une seconde langue (langue moderne I) figure au programme, cette seconde langue est le néerlandais.</w:t>
      </w:r>
    </w:p>
    <w:p>
      <w:pPr>
        <w:pStyle w:val="niveau3"/>
        <w:ind w:left="709"/>
      </w:pPr>
      <w:bookmarkStart w:id="74" w:name="_Toc522700793"/>
      <w:r>
        <w:t xml:space="preserve">III. </w:t>
      </w:r>
      <w:r>
        <w:rPr>
          <w:u w:val="single"/>
        </w:rPr>
        <w:t>possibilités de ne poursuivre que la formation qualifiante</w:t>
      </w:r>
      <w:bookmarkEnd w:id="74"/>
      <w:r>
        <w:rPr>
          <w:u w:val="single"/>
        </w:rPr>
        <w:t xml:space="preserve"> </w:t>
      </w:r>
    </w:p>
    <w:p>
      <w:pPr>
        <w:spacing w:after="120" w:line="240" w:lineRule="atLeast"/>
        <w:ind w:left="992"/>
        <w:jc w:val="both"/>
        <w:rPr>
          <w:rFonts w:ascii="Book Antiqua" w:hAnsi="Book Antiqua" w:cs="Book Antiqua"/>
          <w:color w:val="000000"/>
        </w:rPr>
      </w:pPr>
      <w:r>
        <w:rPr>
          <w:rFonts w:ascii="Book Antiqua" w:hAnsi="Book Antiqua" w:cs="Book Antiqua"/>
          <w:color w:val="000000"/>
        </w:rPr>
        <w:t>Pour les formations « article 45 » et « article 49 » du décret « Missions », les élèves qui ne sont plus soumis à l’obligation scolaire, c’est-à-dire qui ont atteint l’âge de 18 ans au 31 décembre de l’année scolaire en cours, peuvent ne poursuivre que la formation qualifiante</w:t>
      </w:r>
      <w:r>
        <w:rPr>
          <w:rStyle w:val="Caractresdenotedebasdepage"/>
          <w:rFonts w:ascii="Book Antiqua" w:hAnsi="Book Antiqua" w:cs="Book Antiqua"/>
          <w:color w:val="000000"/>
        </w:rPr>
        <w:footnoteReference w:id="161"/>
      </w:r>
      <w:r>
        <w:rPr>
          <w:rFonts w:ascii="Book Antiqua" w:hAnsi="Book Antiqua" w:cs="Book Antiqua"/>
          <w:color w:val="000000"/>
        </w:rPr>
        <w:t>.</w:t>
      </w:r>
    </w:p>
    <w:p>
      <w:pPr>
        <w:spacing w:after="120" w:line="240" w:lineRule="atLeast"/>
        <w:ind w:left="992"/>
        <w:jc w:val="both"/>
        <w:rPr>
          <w:rFonts w:ascii="Book Antiqua" w:hAnsi="Book Antiqua" w:cs="Book Antiqua"/>
          <w:color w:val="000000"/>
        </w:rPr>
      </w:pPr>
      <w:r>
        <w:rPr>
          <w:rFonts w:ascii="Book Antiqua" w:hAnsi="Book Antiqua" w:cs="Book Antiqua"/>
          <w:color w:val="000000"/>
        </w:rPr>
        <w:t>Dans le cas d’une formation « article 49 », les élèves sont tenus de suivre la formation qualifiante à raison de 600 périodes par année de formation.</w:t>
      </w:r>
    </w:p>
    <w:p>
      <w:pPr>
        <w:spacing w:after="120" w:line="240" w:lineRule="atLeast"/>
        <w:ind w:left="993"/>
        <w:jc w:val="both"/>
      </w:pPr>
      <w:r>
        <w:rPr>
          <w:rFonts w:ascii="Book Antiqua" w:hAnsi="Book Antiqua" w:cs="Book Antiqua"/>
          <w:color w:val="000000"/>
        </w:rPr>
        <w:t xml:space="preserve">Par ailleurs, dans le cadre d’une formation « article 45 », la partie de la formation assurée par l’enseignement peut être réduite à 300 périodes par année de formation. </w:t>
      </w:r>
      <w:r>
        <w:rPr>
          <w:rStyle w:val="Caractresdenotedebasdepage"/>
          <w:rFonts w:ascii="Book Antiqua" w:hAnsi="Book Antiqua" w:cs="Book Antiqua"/>
          <w:color w:val="000000"/>
        </w:rPr>
        <w:footnoteReference w:id="162"/>
      </w:r>
    </w:p>
    <w:p>
      <w:pPr>
        <w:pStyle w:val="niveau3"/>
        <w:ind w:left="709"/>
      </w:pPr>
      <w:r>
        <w:br w:type="page"/>
      </w:r>
      <w:bookmarkStart w:id="75" w:name="_Toc522700794"/>
      <w:r>
        <w:lastRenderedPageBreak/>
        <w:t xml:space="preserve">IV. </w:t>
      </w:r>
      <w:r>
        <w:rPr>
          <w:u w:val="single"/>
        </w:rPr>
        <w:t>Accompagnement social</w:t>
      </w:r>
      <w:bookmarkEnd w:id="75"/>
      <w:r>
        <w:t xml:space="preserve"> </w:t>
      </w:r>
    </w:p>
    <w:p>
      <w:pPr>
        <w:spacing w:after="60" w:line="240" w:lineRule="atLeast"/>
        <w:ind w:left="992"/>
        <w:jc w:val="both"/>
        <w:rPr>
          <w:rFonts w:ascii="Book Antiqua" w:hAnsi="Book Antiqua" w:cs="Book Antiqua"/>
          <w:color w:val="000000"/>
          <w:spacing w:val="-2"/>
        </w:rPr>
      </w:pPr>
      <w:r>
        <w:rPr>
          <w:rFonts w:ascii="Book Antiqua" w:hAnsi="Book Antiqua" w:cs="Book Antiqua"/>
          <w:color w:val="000000"/>
          <w:spacing w:val="-2"/>
        </w:rPr>
        <w:t xml:space="preserve">Pendant les six premiers mois de fréquentation d’un CEFA par un élève soumis à l’obligation scolaire à temps partiel, l’accompagnement social peut également consister en des activités complémentaires de préparation à l’insertion socio-professionnelle visée à l’article 3, en faveur des élèves qui ne bénéficient pas d’un stage ou d’une convention. </w:t>
      </w:r>
      <w:r>
        <w:rPr>
          <w:rStyle w:val="Caractresdenotedebasdepage"/>
          <w:rFonts w:ascii="Book Antiqua" w:hAnsi="Book Antiqua" w:cs="Book Antiqua"/>
          <w:color w:val="000000"/>
          <w:spacing w:val="-2"/>
        </w:rPr>
        <w:footnoteReference w:id="163"/>
      </w:r>
    </w:p>
    <w:p>
      <w:pPr>
        <w:spacing w:line="240" w:lineRule="atLeast"/>
        <w:ind w:left="1032"/>
        <w:jc w:val="both"/>
        <w:rPr>
          <w:rFonts w:ascii="Book Antiqua" w:hAnsi="Book Antiqua" w:cs="Book Antiqua"/>
          <w:color w:val="000000"/>
          <w:spacing w:val="-2"/>
        </w:rPr>
      </w:pPr>
      <w:r>
        <w:rPr>
          <w:rFonts w:ascii="Book Antiqua" w:hAnsi="Book Antiqua" w:cs="Book Antiqua"/>
          <w:color w:val="000000"/>
          <w:spacing w:val="-2"/>
        </w:rPr>
        <w:t xml:space="preserve">Au-delà des six premiers mois de fréquentation, dans des cas exceptionnels qui relèvent de l’appréciation du Conseil de direction, les élèves soumis à l’obligation scolaire à temps partiel peuvent également bénéficier de ces activités complémentaires pendant les périodes où ils n’ont pas obtenu de stage. </w:t>
      </w:r>
      <w:r>
        <w:rPr>
          <w:rStyle w:val="Caractresdenotedebasdepage"/>
          <w:rFonts w:ascii="Book Antiqua" w:hAnsi="Book Antiqua" w:cs="Book Antiqua"/>
          <w:color w:val="000000"/>
          <w:spacing w:val="-2"/>
        </w:rPr>
        <w:footnoteReference w:id="164"/>
      </w:r>
    </w:p>
    <w:p>
      <w:pPr>
        <w:spacing w:line="240" w:lineRule="atLeast"/>
        <w:jc w:val="both"/>
        <w:rPr>
          <w:rFonts w:ascii="Book Antiqua" w:hAnsi="Book Antiqua" w:cs="Book Antiqua"/>
          <w:color w:val="000000"/>
          <w:spacing w:val="-2"/>
        </w:rPr>
        <w:sectPr>
          <w:headerReference w:type="even" r:id="rId33"/>
          <w:headerReference w:type="default" r:id="rId34"/>
          <w:footerReference w:type="even" r:id="rId35"/>
          <w:footerReference w:type="default" r:id="rId36"/>
          <w:headerReference w:type="first" r:id="rId37"/>
          <w:footerReference w:type="first" r:id="rId38"/>
          <w:pgSz w:w="11906" w:h="16838"/>
          <w:pgMar w:top="1417" w:right="1417" w:bottom="1417" w:left="1417" w:header="708" w:footer="708" w:gutter="0"/>
          <w:cols w:space="720"/>
          <w:docGrid w:linePitch="360"/>
        </w:sectPr>
      </w:pPr>
    </w:p>
    <w:p>
      <w:pPr>
        <w:pStyle w:val="niveau2"/>
        <w:ind w:left="709"/>
        <w:rPr>
          <w:color w:val="000000"/>
          <w:szCs w:val="32"/>
        </w:rPr>
      </w:pPr>
      <w:bookmarkStart w:id="76" w:name="_Toc522700795"/>
      <w:r>
        <w:rPr>
          <w:color w:val="000000"/>
          <w:szCs w:val="32"/>
        </w:rPr>
        <w:lastRenderedPageBreak/>
        <w:t>CHAPITRE VI : PROGRAMMATION, ORGANISATION, NORMES DE CREATION, REPERTOIRE DES OPTIONS DE BASE</w:t>
      </w:r>
      <w:bookmarkEnd w:id="76"/>
    </w:p>
    <w:p>
      <w:pPr>
        <w:pStyle w:val="niveau3"/>
        <w:ind w:left="709"/>
        <w:rPr>
          <w:b w:val="0"/>
          <w:iCs/>
          <w:color w:val="000000"/>
        </w:rPr>
      </w:pPr>
      <w:bookmarkStart w:id="77" w:name="_Toc522700796"/>
      <w:r>
        <w:rPr>
          <w:rStyle w:val="niveau3Car"/>
          <w:color w:val="000000"/>
        </w:rPr>
        <w:t xml:space="preserve">I. </w:t>
      </w:r>
      <w:r>
        <w:rPr>
          <w:rStyle w:val="niveau3Car"/>
          <w:b/>
          <w:color w:val="000000"/>
          <w:u w:val="single"/>
        </w:rPr>
        <w:t>ORGANISATION DES  « ARTICLE 45 »</w:t>
      </w:r>
      <w:r>
        <w:rPr>
          <w:rStyle w:val="niveau3Car"/>
          <w:b/>
          <w:color w:val="000000"/>
        </w:rPr>
        <w:t xml:space="preserve"> </w:t>
      </w:r>
      <w:r>
        <w:rPr>
          <w:rStyle w:val="Caractresdenotedebasdepage"/>
          <w:rFonts w:cs="Book Antiqua"/>
          <w:b w:val="0"/>
          <w:color w:val="000000"/>
        </w:rPr>
        <w:footnoteReference w:id="165"/>
      </w:r>
      <w:bookmarkEnd w:id="77"/>
    </w:p>
    <w:p>
      <w:pPr>
        <w:spacing w:after="120"/>
        <w:ind w:left="1032"/>
        <w:jc w:val="both"/>
        <w:rPr>
          <w:rFonts w:ascii="Book Antiqua" w:hAnsi="Book Antiqua" w:cs="Book Antiqua"/>
          <w:bCs/>
          <w:iCs/>
          <w:color w:val="000000"/>
        </w:rPr>
      </w:pPr>
      <w:r>
        <w:rPr>
          <w:rFonts w:ascii="Book Antiqua" w:hAnsi="Book Antiqua" w:cs="Book Antiqua"/>
          <w:bCs/>
          <w:iCs/>
          <w:color w:val="000000"/>
        </w:rPr>
        <w:t>Les formations « article 45 » sont arrêtées par le CEFA sur décision prise aux deux tiers des membres présents du Conseil de direction et après s’être assuré que l’établissement où sera organisée la formation a obtenu l’accord de son pouvoir organisateur ou de son représentant.</w:t>
      </w:r>
    </w:p>
    <w:p>
      <w:pPr>
        <w:spacing w:after="240"/>
        <w:ind w:left="1032"/>
        <w:jc w:val="both"/>
        <w:rPr>
          <w:rFonts w:ascii="Book Antiqua" w:hAnsi="Book Antiqua" w:cs="Arial"/>
          <w:color w:val="000000"/>
        </w:rPr>
      </w:pPr>
      <w:r>
        <w:rPr>
          <w:rFonts w:ascii="Book Antiqua" w:hAnsi="Book Antiqua" w:cs="Arial"/>
          <w:color w:val="000000"/>
        </w:rPr>
        <w:t>Les formations seront soumises à l’approbation du Comité de Concertation compétent selon des modalités définies par ledit Comité de Concertation.</w:t>
      </w:r>
    </w:p>
    <w:p>
      <w:pPr>
        <w:spacing w:after="240"/>
        <w:ind w:left="1032"/>
        <w:jc w:val="both"/>
        <w:rPr>
          <w:color w:val="000000"/>
        </w:rPr>
      </w:pPr>
      <w:r>
        <w:rPr>
          <w:rFonts w:ascii="Book Antiqua" w:hAnsi="Book Antiqua" w:cs="Book Antiqua"/>
          <w:color w:val="000000"/>
        </w:rPr>
        <w:t>Une demande d’ouverture de formation « en urgence » peut être introduite au comité de concertation pour l’enseignement secondaire du caractère dont relève l’établissement, via les organes de représentation et de coordination à tout moment de l’année.  Néanmoins, pour des raisons d’organisation pratique, les demandes d’ouverture d’une formation « en urgence » au 1</w:t>
      </w:r>
      <w:r>
        <w:rPr>
          <w:rFonts w:ascii="Book Antiqua" w:hAnsi="Book Antiqua" w:cs="Book Antiqua"/>
          <w:color w:val="000000"/>
          <w:vertAlign w:val="superscript"/>
        </w:rPr>
        <w:t>er</w:t>
      </w:r>
      <w:r>
        <w:rPr>
          <w:rFonts w:ascii="Book Antiqua" w:hAnsi="Book Antiqua" w:cs="Book Antiqua"/>
          <w:color w:val="000000"/>
        </w:rPr>
        <w:t xml:space="preserve"> septembre 2018 sont  adressées avant le 11 mai 2018 au comité de concertation pour l’enseignement secondaire du caractère dont relève l’établissement, via les organes de représentation et de coordination.  </w:t>
      </w:r>
    </w:p>
    <w:tbl>
      <w:tblPr>
        <w:tblW w:w="0" w:type="auto"/>
        <w:tblInd w:w="-20" w:type="dxa"/>
        <w:tblLayout w:type="fixed"/>
        <w:tblLook w:val="0000" w:firstRow="0" w:lastRow="0" w:firstColumn="0" w:lastColumn="0" w:noHBand="0" w:noVBand="0"/>
      </w:tblPr>
      <w:tblGrid>
        <w:gridCol w:w="9250"/>
      </w:tblGrid>
      <w:t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iCs/>
                <w:sz w:val="20"/>
                <w:u w:val="none"/>
              </w:rPr>
            </w:pPr>
            <w:r>
              <w:rPr>
                <w:rFonts w:ascii="Book Antiqua" w:hAnsi="Book Antiqua"/>
                <w:b w:val="0"/>
                <w:i/>
                <w:iCs/>
                <w:sz w:val="20"/>
                <w:u w:val="none"/>
              </w:rPr>
              <w:t>pour les établissements d’enseignement libre confessionnel, à</w:t>
            </w:r>
          </w:p>
          <w:p>
            <w:pPr>
              <w:pStyle w:val="Corpsdetexte31"/>
              <w:snapToGrid w:val="0"/>
              <w:rPr>
                <w:rFonts w:ascii="Book Antiqua" w:hAnsi="Book Antiqua"/>
                <w:i/>
                <w:iCs/>
                <w:sz w:val="20"/>
                <w:u w:val="none"/>
              </w:rPr>
            </w:pPr>
            <w:r>
              <w:rPr>
                <w:rFonts w:ascii="Book Antiqua" w:hAnsi="Book Antiqua"/>
                <w:i/>
                <w:iCs/>
                <w:sz w:val="20"/>
                <w:u w:val="none"/>
              </w:rPr>
              <w:t>Monsieur Eric DAUBIE</w:t>
            </w:r>
          </w:p>
          <w:p>
            <w:pPr>
              <w:pStyle w:val="Corpsdetexte31"/>
              <w:rPr>
                <w:rFonts w:ascii="Book Antiqua" w:hAnsi="Book Antiqua"/>
                <w:i/>
                <w:iCs/>
                <w:sz w:val="20"/>
                <w:u w:val="none"/>
              </w:rPr>
            </w:pPr>
            <w:r>
              <w:rPr>
                <w:rFonts w:ascii="Book Antiqua" w:hAnsi="Book Antiqua"/>
                <w:i/>
                <w:iCs/>
                <w:sz w:val="20"/>
                <w:u w:val="none"/>
              </w:rPr>
              <w:t>Fédération de l’Enseignement Secondaire Catholique (FESEC)</w:t>
            </w:r>
          </w:p>
          <w:p>
            <w:pPr>
              <w:pStyle w:val="Corpsdetexte31"/>
              <w:rPr>
                <w:rFonts w:ascii="Book Antiqua" w:hAnsi="Book Antiqua"/>
                <w:i/>
                <w:iCs/>
                <w:sz w:val="20"/>
                <w:u w:val="none"/>
              </w:rPr>
            </w:pPr>
            <w:r>
              <w:rPr>
                <w:rFonts w:ascii="Book Antiqua" w:hAnsi="Book Antiqua"/>
                <w:i/>
                <w:iCs/>
                <w:sz w:val="20"/>
                <w:u w:val="none"/>
              </w:rPr>
              <w:t>Avenue E. Mounier, 100</w:t>
            </w:r>
          </w:p>
          <w:p>
            <w:pPr>
              <w:pStyle w:val="Corpsdetexte31"/>
              <w:rPr>
                <w:rFonts w:ascii="Book Antiqua" w:hAnsi="Book Antiqua"/>
                <w:i/>
                <w:iCs/>
                <w:sz w:val="20"/>
                <w:u w:val="none"/>
              </w:rPr>
            </w:pPr>
            <w:r>
              <w:rPr>
                <w:rFonts w:ascii="Book Antiqua" w:hAnsi="Book Antiqua"/>
                <w:i/>
                <w:iCs/>
                <w:sz w:val="20"/>
                <w:u w:val="none"/>
              </w:rPr>
              <w:t>1200 BRUXELLES</w:t>
            </w:r>
          </w:p>
        </w:tc>
      </w:tr>
    </w:tbl>
    <w:p>
      <w:pPr>
        <w:pStyle w:val="Corpsdetexte31"/>
        <w:ind w:left="709"/>
      </w:pPr>
    </w:p>
    <w:p>
      <w:pPr>
        <w:pStyle w:val="Corpsdetexte31"/>
        <w:ind w:left="709"/>
      </w:pPr>
    </w:p>
    <w:tbl>
      <w:tblPr>
        <w:tblW w:w="0" w:type="auto"/>
        <w:tblInd w:w="-20" w:type="dxa"/>
        <w:tblLayout w:type="fixed"/>
        <w:tblLook w:val="0000" w:firstRow="0" w:lastRow="0" w:firstColumn="0" w:lastColumn="0" w:noHBand="0" w:noVBand="0"/>
      </w:tblPr>
      <w:tblGrid>
        <w:gridCol w:w="9250"/>
      </w:tblGrid>
      <w:t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sz w:val="20"/>
                <w:u w:val="none"/>
              </w:rPr>
            </w:pPr>
            <w:r>
              <w:rPr>
                <w:rFonts w:ascii="Book Antiqua" w:hAnsi="Book Antiqua"/>
                <w:b w:val="0"/>
                <w:i/>
                <w:sz w:val="20"/>
                <w:u w:val="none"/>
              </w:rPr>
              <w:t>pour les établissements d’enseignement organisé par la Fédération Wallonie-Bruxelles, à</w:t>
            </w:r>
          </w:p>
          <w:p>
            <w:pPr>
              <w:pStyle w:val="Corpsdetexte31"/>
              <w:snapToGrid w:val="0"/>
              <w:rPr>
                <w:rFonts w:ascii="Book Antiqua" w:hAnsi="Book Antiqua"/>
                <w:i/>
                <w:sz w:val="20"/>
                <w:u w:val="none"/>
              </w:rPr>
            </w:pPr>
            <w:r>
              <w:rPr>
                <w:rFonts w:ascii="Book Antiqua" w:hAnsi="Book Antiqua"/>
                <w:i/>
                <w:sz w:val="20"/>
                <w:u w:val="none"/>
              </w:rPr>
              <w:t>Monsieur Didier LETURCQ</w:t>
            </w:r>
          </w:p>
          <w:p>
            <w:pPr>
              <w:pStyle w:val="Corpsdetexte31"/>
              <w:rPr>
                <w:rFonts w:ascii="Book Antiqua" w:hAnsi="Book Antiqua"/>
                <w:i/>
                <w:sz w:val="20"/>
                <w:u w:val="none"/>
              </w:rPr>
            </w:pPr>
            <w:r>
              <w:rPr>
                <w:rFonts w:ascii="Book Antiqua" w:hAnsi="Book Antiqua"/>
                <w:i/>
                <w:sz w:val="20"/>
                <w:u w:val="none"/>
              </w:rPr>
              <w:t>Service général de l’Enseignement organisé par la Fédération Wallonie-Bruxelles</w:t>
            </w:r>
          </w:p>
          <w:p>
            <w:pPr>
              <w:pStyle w:val="Corpsdetexte31"/>
              <w:rPr>
                <w:rFonts w:ascii="Book Antiqua" w:hAnsi="Book Antiqua"/>
                <w:i/>
                <w:sz w:val="20"/>
                <w:u w:val="none"/>
              </w:rPr>
            </w:pPr>
            <w:r>
              <w:rPr>
                <w:rFonts w:ascii="Book Antiqua" w:hAnsi="Book Antiqua"/>
                <w:i/>
                <w:sz w:val="20"/>
                <w:u w:val="none"/>
              </w:rPr>
              <w:t>Boulevard du Jardin Botanique, 20-22</w:t>
            </w:r>
          </w:p>
          <w:p>
            <w:pPr>
              <w:pStyle w:val="Corpsdetexte31"/>
              <w:rPr>
                <w:rFonts w:ascii="Book Antiqua" w:hAnsi="Book Antiqua"/>
                <w:i/>
                <w:sz w:val="20"/>
                <w:u w:val="none"/>
              </w:rPr>
            </w:pPr>
            <w:r>
              <w:rPr>
                <w:rFonts w:ascii="Book Antiqua" w:hAnsi="Book Antiqua"/>
                <w:i/>
                <w:sz w:val="20"/>
                <w:u w:val="none"/>
              </w:rPr>
              <w:t>1000 BRUXELLES</w:t>
            </w:r>
          </w:p>
        </w:tc>
      </w:tr>
    </w:tbl>
    <w:p>
      <w:pPr>
        <w:pStyle w:val="Corpsdetexte31"/>
        <w:ind w:left="709"/>
      </w:pPr>
    </w:p>
    <w:tbl>
      <w:tblPr>
        <w:tblW w:w="0" w:type="auto"/>
        <w:tblInd w:w="-20" w:type="dxa"/>
        <w:tblLayout w:type="fixed"/>
        <w:tblLook w:val="0000" w:firstRow="0" w:lastRow="0" w:firstColumn="0" w:lastColumn="0" w:noHBand="0" w:noVBand="0"/>
      </w:tblPr>
      <w:tblGrid>
        <w:gridCol w:w="9250"/>
      </w:tblGrid>
      <w:t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iCs/>
                <w:sz w:val="20"/>
                <w:u w:val="none"/>
              </w:rPr>
            </w:pPr>
            <w:r>
              <w:rPr>
                <w:rFonts w:ascii="Book Antiqua" w:hAnsi="Book Antiqua"/>
                <w:b w:val="0"/>
                <w:i/>
                <w:iCs/>
                <w:sz w:val="20"/>
                <w:u w:val="none"/>
              </w:rPr>
              <w:t>pour les établissements d’enseignement officiel subventionné, à</w:t>
            </w:r>
          </w:p>
          <w:p>
            <w:pPr>
              <w:pStyle w:val="Corpsdetexte31"/>
              <w:snapToGrid w:val="0"/>
              <w:rPr>
                <w:rFonts w:ascii="Book Antiqua" w:hAnsi="Book Antiqua"/>
                <w:i/>
                <w:iCs/>
                <w:sz w:val="20"/>
                <w:u w:val="none"/>
              </w:rPr>
            </w:pPr>
            <w:r>
              <w:rPr>
                <w:rFonts w:ascii="Book Antiqua" w:hAnsi="Book Antiqua"/>
                <w:i/>
                <w:iCs/>
                <w:sz w:val="20"/>
                <w:u w:val="none"/>
              </w:rPr>
              <w:t>Monsieur Roberto GALLUCCIO</w:t>
            </w:r>
          </w:p>
          <w:p>
            <w:pPr>
              <w:pStyle w:val="Corpsdetexte31"/>
              <w:rPr>
                <w:rFonts w:ascii="Book Antiqua" w:hAnsi="Book Antiqua"/>
                <w:i/>
                <w:iCs/>
                <w:sz w:val="20"/>
                <w:u w:val="none"/>
              </w:rPr>
            </w:pPr>
            <w:r>
              <w:rPr>
                <w:rFonts w:ascii="Book Antiqua" w:hAnsi="Book Antiqua"/>
                <w:i/>
                <w:iCs/>
                <w:sz w:val="20"/>
                <w:u w:val="none"/>
              </w:rPr>
              <w:t xml:space="preserve">Conseil des Pouvoirs organisateurs de </w:t>
            </w:r>
            <w:r>
              <w:rPr>
                <w:rFonts w:ascii="Book Antiqua" w:hAnsi="Book Antiqua"/>
                <w:i/>
                <w:iCs/>
                <w:sz w:val="20"/>
                <w:u w:val="none"/>
              </w:rPr>
              <w:br/>
              <w:t>l'Enseignement Officiel Neutre Subventionné (CPEONS)</w:t>
            </w:r>
          </w:p>
          <w:p>
            <w:pPr>
              <w:pStyle w:val="Corpsdetexte31"/>
              <w:rPr>
                <w:rFonts w:ascii="Book Antiqua" w:hAnsi="Book Antiqua"/>
                <w:i/>
                <w:iCs/>
                <w:sz w:val="20"/>
                <w:u w:val="none"/>
              </w:rPr>
            </w:pPr>
            <w:r>
              <w:rPr>
                <w:rFonts w:ascii="Book Antiqua" w:hAnsi="Book Antiqua"/>
                <w:i/>
                <w:iCs/>
                <w:sz w:val="20"/>
                <w:u w:val="none"/>
              </w:rPr>
              <w:t>Rue des Minimes, 87-89</w:t>
            </w:r>
          </w:p>
          <w:p>
            <w:pPr>
              <w:pStyle w:val="Corpsdetexte31"/>
              <w:rPr>
                <w:rFonts w:ascii="Book Antiqua" w:hAnsi="Book Antiqua"/>
                <w:i/>
                <w:iCs/>
                <w:sz w:val="20"/>
                <w:u w:val="none"/>
              </w:rPr>
            </w:pPr>
            <w:r>
              <w:rPr>
                <w:rFonts w:ascii="Book Antiqua" w:hAnsi="Book Antiqua"/>
                <w:i/>
                <w:iCs/>
                <w:sz w:val="20"/>
                <w:u w:val="none"/>
              </w:rPr>
              <w:t>1000 BRUXELLES</w:t>
            </w:r>
          </w:p>
        </w:tc>
      </w:tr>
    </w:tbl>
    <w:p>
      <w:pPr>
        <w:suppressAutoHyphens w:val="0"/>
        <w:autoSpaceDE w:val="0"/>
        <w:autoSpaceDN w:val="0"/>
        <w:adjustRightInd w:val="0"/>
        <w:jc w:val="both"/>
        <w:rPr>
          <w:color w:val="000000"/>
        </w:rPr>
      </w:pPr>
    </w:p>
    <w:p>
      <w:pPr>
        <w:suppressAutoHyphens w:val="0"/>
        <w:autoSpaceDE w:val="0"/>
        <w:autoSpaceDN w:val="0"/>
        <w:adjustRightInd w:val="0"/>
        <w:jc w:val="both"/>
        <w:rPr>
          <w:rFonts w:ascii="Book Antiqua" w:hAnsi="Book Antiqua" w:cs="CenturySchoolbook"/>
          <w:lang w:val="fr-BE" w:eastAsia="fr-BE"/>
        </w:rPr>
      </w:pPr>
      <w:r>
        <w:rPr>
          <w:rFonts w:ascii="Book Antiqua" w:hAnsi="Book Antiqua" w:cs="CenturySchoolbook"/>
          <w:lang w:val="fr-BE" w:eastAsia="fr-BE"/>
        </w:rPr>
        <w:t>Chaque Comité de concertation transmet à l'administration ses décisions avant le début de toute nouvelle formation en alternance.</w:t>
      </w:r>
    </w:p>
    <w:p>
      <w:pPr>
        <w:suppressAutoHyphens w:val="0"/>
        <w:autoSpaceDE w:val="0"/>
        <w:autoSpaceDN w:val="0"/>
        <w:adjustRightInd w:val="0"/>
        <w:jc w:val="both"/>
        <w:rPr>
          <w:rFonts w:ascii="Book Antiqua" w:hAnsi="Book Antiqua" w:cs="CenturySchoolbook"/>
          <w:lang w:val="fr-BE" w:eastAsia="fr-BE"/>
        </w:rPr>
      </w:pPr>
      <w:r>
        <w:rPr>
          <w:rFonts w:ascii="Book Antiqua" w:hAnsi="Book Antiqua" w:cs="CenturySchoolbook"/>
          <w:lang w:val="fr-BE" w:eastAsia="fr-BE"/>
        </w:rPr>
        <w:t>Le Centre d'éducation et de formation en alternance transmet pour le 1er octobre la liste des formations organisées à cette date ainsi que la liste des élèves qui y sont inscrits. Il avertit immédiatement l'administration et l'Inspection générale, en cours d'année, de toute modification de la liste des formations.</w:t>
      </w:r>
    </w:p>
    <w:p>
      <w:pPr>
        <w:suppressAutoHyphens w:val="0"/>
        <w:autoSpaceDE w:val="0"/>
        <w:autoSpaceDN w:val="0"/>
        <w:adjustRightInd w:val="0"/>
        <w:jc w:val="both"/>
        <w:rPr>
          <w:rFonts w:ascii="Book Antiqua" w:hAnsi="Book Antiqua" w:cs="CenturySchoolbook"/>
          <w:lang w:val="fr-BE" w:eastAsia="fr-BE"/>
        </w:rPr>
      </w:pPr>
    </w:p>
    <w:p>
      <w:pPr>
        <w:suppressAutoHyphens w:val="0"/>
        <w:autoSpaceDE w:val="0"/>
        <w:autoSpaceDN w:val="0"/>
        <w:adjustRightInd w:val="0"/>
        <w:jc w:val="both"/>
        <w:rPr>
          <w:rFonts w:ascii="Book Antiqua" w:hAnsi="Book Antiqua" w:cs="CenturySchoolbook"/>
          <w:lang w:val="fr-BE" w:eastAsia="fr-BE"/>
        </w:rPr>
      </w:pPr>
    </w:p>
    <w:p>
      <w:pPr>
        <w:suppressAutoHyphens w:val="0"/>
        <w:autoSpaceDE w:val="0"/>
        <w:autoSpaceDN w:val="0"/>
        <w:adjustRightInd w:val="0"/>
        <w:jc w:val="both"/>
        <w:rPr>
          <w:rFonts w:ascii="Book Antiqua" w:hAnsi="Book Antiqua" w:cs="CenturySchoolbook"/>
          <w:lang w:val="fr-BE" w:eastAsia="fr-BE"/>
        </w:rPr>
      </w:pPr>
    </w:p>
    <w:p>
      <w:pPr>
        <w:suppressAutoHyphens w:val="0"/>
        <w:autoSpaceDE w:val="0"/>
        <w:autoSpaceDN w:val="0"/>
        <w:adjustRightInd w:val="0"/>
        <w:jc w:val="both"/>
        <w:rPr>
          <w:rFonts w:ascii="Book Antiqua" w:hAnsi="Book Antiqua" w:cs="CenturySchoolbook"/>
          <w:lang w:val="fr-BE" w:eastAsia="fr-BE"/>
        </w:rPr>
      </w:pPr>
    </w:p>
    <w:p>
      <w:pPr>
        <w:suppressAutoHyphens w:val="0"/>
        <w:autoSpaceDE w:val="0"/>
        <w:autoSpaceDN w:val="0"/>
        <w:adjustRightInd w:val="0"/>
        <w:jc w:val="both"/>
        <w:rPr>
          <w:rFonts w:ascii="Book Antiqua" w:hAnsi="Book Antiqua" w:cs="CenturySchoolbook"/>
          <w:lang w:val="fr-BE" w:eastAsia="fr-BE"/>
        </w:rPr>
      </w:pPr>
    </w:p>
    <w:p>
      <w:pPr>
        <w:pStyle w:val="niveau3"/>
        <w:ind w:left="709"/>
        <w:rPr>
          <w:spacing w:val="-2"/>
          <w:u w:val="single"/>
        </w:rPr>
      </w:pPr>
      <w:bookmarkStart w:id="78" w:name="_Toc522700797"/>
      <w:r>
        <w:lastRenderedPageBreak/>
        <w:t xml:space="preserve">II. </w:t>
      </w:r>
      <w:r>
        <w:rPr>
          <w:u w:val="single"/>
        </w:rPr>
        <w:t>Règles de programmation des FORMATIONS « article 49 »</w:t>
      </w:r>
      <w:bookmarkEnd w:id="78"/>
      <w:r>
        <w:rPr>
          <w:spacing w:val="-2"/>
          <w:u w:val="single"/>
        </w:rPr>
        <w:t xml:space="preserve"> </w:t>
      </w:r>
    </w:p>
    <w:p>
      <w:pPr>
        <w:tabs>
          <w:tab w:val="left" w:pos="1082"/>
          <w:tab w:val="left" w:pos="1315"/>
          <w:tab w:val="left" w:pos="1594"/>
          <w:tab w:val="left" w:pos="1752"/>
          <w:tab w:val="left" w:pos="1922"/>
          <w:tab w:val="left" w:pos="5335"/>
        </w:tabs>
        <w:ind w:left="993"/>
        <w:jc w:val="both"/>
        <w:rPr>
          <w:rFonts w:ascii="Book Antiqua" w:hAnsi="Book Antiqua" w:cs="Book Antiqua"/>
          <w:color w:val="000000"/>
          <w:spacing w:val="-2"/>
        </w:rPr>
      </w:pPr>
      <w:r>
        <w:rPr>
          <w:rFonts w:ascii="Book Antiqua" w:hAnsi="Book Antiqua" w:cs="Book Antiqua"/>
          <w:color w:val="000000"/>
          <w:spacing w:val="-2"/>
        </w:rPr>
        <w:t xml:space="preserve">Les règles fondamentales en matière de programmation découlent des articles 24 et 25 du décret du 29 juillet 1992 portant organisation de l'enseignement secondaire de plein exercice et de son arrêté d'application du 15 mars 1993 fixant les obligations de concertation entre établissements de même caractère. </w:t>
      </w:r>
      <w:r>
        <w:rPr>
          <w:rStyle w:val="Caractresdenotedebasdepage"/>
          <w:rFonts w:ascii="Book Antiqua" w:hAnsi="Book Antiqua" w:cs="Book Antiqua"/>
          <w:color w:val="000000"/>
          <w:spacing w:val="-2"/>
        </w:rPr>
        <w:footnoteReference w:id="166"/>
      </w:r>
    </w:p>
    <w:p>
      <w:pPr>
        <w:tabs>
          <w:tab w:val="left" w:pos="1922"/>
        </w:tabs>
        <w:spacing w:after="240"/>
        <w:ind w:left="993"/>
        <w:jc w:val="both"/>
        <w:rPr>
          <w:rFonts w:ascii="Book Antiqua" w:hAnsi="Book Antiqua" w:cs="Book Antiqua"/>
          <w:color w:val="000000"/>
          <w:spacing w:val="-2"/>
        </w:rPr>
      </w:pPr>
      <w:r>
        <w:rPr>
          <w:rFonts w:ascii="Book Antiqua" w:hAnsi="Book Antiqua" w:cs="Book Antiqua"/>
          <w:color w:val="000000"/>
          <w:spacing w:val="-2"/>
        </w:rPr>
        <w:t>Est subordonnée à l'avis favorable issu de la concertation visée à l'article 24, alinéa 1</w:t>
      </w:r>
      <w:r>
        <w:rPr>
          <w:rFonts w:ascii="Book Antiqua" w:hAnsi="Book Antiqua" w:cs="Book Antiqua"/>
          <w:color w:val="000000"/>
          <w:spacing w:val="-2"/>
          <w:vertAlign w:val="superscript"/>
        </w:rPr>
        <w:t>er</w:t>
      </w:r>
      <w:r>
        <w:rPr>
          <w:rFonts w:ascii="Book Antiqua" w:hAnsi="Book Antiqua" w:cs="Book Antiqua"/>
          <w:color w:val="000000"/>
          <w:spacing w:val="-2"/>
        </w:rPr>
        <w:t xml:space="preserve">, 3° du décret précité, l'organisation de nouvelles options de base groupées relevant de l’article 49 du décret « Missions ». </w:t>
      </w:r>
      <w:r>
        <w:rPr>
          <w:rStyle w:val="Caractresdenotedebasdepage"/>
          <w:rFonts w:ascii="Book Antiqua" w:hAnsi="Book Antiqua" w:cs="Book Antiqua"/>
          <w:color w:val="000000"/>
          <w:spacing w:val="-2"/>
        </w:rPr>
        <w:footnoteReference w:id="167"/>
      </w:r>
    </w:p>
    <w:p>
      <w:pPr>
        <w:spacing w:after="120"/>
        <w:ind w:left="993"/>
        <w:jc w:val="both"/>
        <w:rPr>
          <w:rFonts w:ascii="Book Antiqua" w:hAnsi="Book Antiqua" w:cs="Book Antiqua"/>
          <w:color w:val="000000"/>
          <w:spacing w:val="-2"/>
        </w:rPr>
      </w:pPr>
      <w:r>
        <w:rPr>
          <w:rFonts w:ascii="Book Antiqua" w:hAnsi="Book Antiqua" w:cs="Book Antiqua"/>
          <w:color w:val="000000"/>
          <w:spacing w:val="-2"/>
        </w:rPr>
        <w:t xml:space="preserve">Si un établissement d’enseignement secondaire outrepasse un avis défavorable, il perd le bénéfice des crédits et subventions pour l'ensemble de l'établissement où l'option en cause est organisée pendant les années scolaires où elle est organisée. </w:t>
      </w:r>
      <w:r>
        <w:rPr>
          <w:rStyle w:val="Caractresdenotedebasdepage"/>
          <w:rFonts w:ascii="Book Antiqua" w:hAnsi="Book Antiqua" w:cs="Book Antiqua"/>
          <w:color w:val="000000"/>
          <w:spacing w:val="-2"/>
        </w:rPr>
        <w:footnoteReference w:id="168"/>
      </w:r>
    </w:p>
    <w:p>
      <w:pPr>
        <w:spacing w:after="240"/>
        <w:ind w:left="993"/>
        <w:jc w:val="both"/>
        <w:rPr>
          <w:rFonts w:ascii="Book Antiqua" w:hAnsi="Book Antiqua" w:cs="Book Antiqua"/>
          <w:b/>
          <w:color w:val="000000"/>
          <w:spacing w:val="-2"/>
          <w:u w:val="single"/>
        </w:rPr>
      </w:pPr>
      <w:r>
        <w:rPr>
          <w:rFonts w:ascii="Book Antiqua" w:hAnsi="Book Antiqua" w:cs="Book Antiqua"/>
          <w:color w:val="000000"/>
          <w:spacing w:val="-2"/>
        </w:rPr>
        <w:t>Le fait de ne pas solliciter l'avis du Conseil de zone est assimilé au fait d'outrepasser un avis défavorable.</w:t>
      </w:r>
      <w:r>
        <w:rPr>
          <w:rStyle w:val="Caractresdenotedebasdepage"/>
          <w:rFonts w:ascii="Book Antiqua" w:hAnsi="Book Antiqua" w:cs="Book Antiqua"/>
          <w:color w:val="000000"/>
          <w:spacing w:val="-2"/>
        </w:rPr>
        <w:footnoteReference w:id="169"/>
      </w:r>
    </w:p>
    <w:p>
      <w:pPr>
        <w:tabs>
          <w:tab w:val="left" w:pos="1082"/>
          <w:tab w:val="left" w:pos="1315"/>
          <w:tab w:val="left" w:pos="1594"/>
          <w:tab w:val="left" w:pos="1752"/>
          <w:tab w:val="left" w:pos="1922"/>
          <w:tab w:val="left" w:pos="5335"/>
        </w:tabs>
        <w:spacing w:after="240"/>
        <w:ind w:left="993"/>
        <w:jc w:val="both"/>
        <w:rPr>
          <w:rFonts w:ascii="Book Antiqua" w:hAnsi="Book Antiqua" w:cs="Book Antiqua"/>
          <w:b/>
          <w:color w:val="000000"/>
          <w:spacing w:val="-2"/>
          <w:u w:val="single"/>
        </w:rPr>
      </w:pPr>
      <w:r>
        <w:rPr>
          <w:rFonts w:ascii="Book Antiqua" w:hAnsi="Book Antiqua" w:cs="Book Antiqua"/>
          <w:b/>
          <w:color w:val="000000"/>
          <w:spacing w:val="-2"/>
          <w:u w:val="single"/>
        </w:rPr>
        <w:t>Remarques :</w:t>
      </w:r>
    </w:p>
    <w:p>
      <w:pPr>
        <w:tabs>
          <w:tab w:val="left" w:pos="1134"/>
          <w:tab w:val="left" w:pos="1922"/>
          <w:tab w:val="left" w:pos="5335"/>
        </w:tabs>
        <w:spacing w:after="144"/>
        <w:ind w:left="1276" w:hanging="283"/>
        <w:jc w:val="both"/>
        <w:rPr>
          <w:rFonts w:ascii="Book Antiqua" w:hAnsi="Book Antiqua" w:cs="Book Antiqua"/>
          <w:color w:val="000000"/>
          <w:spacing w:val="-2"/>
        </w:rPr>
      </w:pPr>
      <w:r>
        <w:rPr>
          <w:rFonts w:ascii="Book Antiqua" w:hAnsi="Book Antiqua" w:cs="Book Antiqua"/>
          <w:color w:val="000000"/>
          <w:spacing w:val="-2"/>
        </w:rPr>
        <w:t>1°</w:t>
      </w:r>
      <w:r>
        <w:rPr>
          <w:rFonts w:ascii="Book Antiqua" w:hAnsi="Book Antiqua" w:cs="Book Antiqua"/>
          <w:color w:val="000000"/>
          <w:spacing w:val="-2"/>
        </w:rPr>
        <w:tab/>
        <w:t>Chaque Conseil de zone peut formuler, à l'intention des différents pouvoirs organisateurs qui le composent, des avis en matière d'harmonisation de l'offre d'enseignement de son caractère sur son territoire.</w:t>
      </w:r>
    </w:p>
    <w:p>
      <w:pPr>
        <w:tabs>
          <w:tab w:val="left" w:pos="1134"/>
          <w:tab w:val="left" w:pos="1922"/>
          <w:tab w:val="left" w:pos="5335"/>
        </w:tabs>
        <w:spacing w:after="144"/>
        <w:ind w:left="1276" w:hanging="283"/>
        <w:jc w:val="both"/>
        <w:rPr>
          <w:rFonts w:ascii="Book Antiqua" w:hAnsi="Book Antiqua" w:cs="Book Antiqua"/>
          <w:color w:val="000000"/>
          <w:spacing w:val="-2"/>
        </w:rPr>
      </w:pPr>
      <w:r>
        <w:rPr>
          <w:rFonts w:ascii="Book Antiqua" w:hAnsi="Book Antiqua" w:cs="Book Antiqua"/>
          <w:color w:val="000000"/>
          <w:spacing w:val="-2"/>
        </w:rPr>
        <w:t xml:space="preserve">2° </w:t>
      </w:r>
      <w:r>
        <w:rPr>
          <w:rFonts w:ascii="Book Antiqua" w:hAnsi="Book Antiqua" w:cs="Book Antiqua"/>
          <w:color w:val="000000"/>
          <w:spacing w:val="-2"/>
        </w:rPr>
        <w:tab/>
        <w:t>Pour toute option de base groupée créée, un rapport doit être établi au cours de la première année de création par l'inspection compétente et communiqué au Ministre.</w:t>
      </w:r>
    </w:p>
    <w:p>
      <w:pPr>
        <w:tabs>
          <w:tab w:val="left" w:pos="1134"/>
          <w:tab w:val="left" w:pos="1922"/>
          <w:tab w:val="left" w:pos="5335"/>
        </w:tabs>
        <w:spacing w:after="144"/>
        <w:ind w:left="1276" w:hanging="283"/>
        <w:jc w:val="both"/>
        <w:rPr>
          <w:rFonts w:ascii="Book Antiqua" w:hAnsi="Book Antiqua" w:cs="Book Antiqua"/>
          <w:color w:val="000000"/>
          <w:spacing w:val="-2"/>
        </w:rPr>
      </w:pPr>
      <w:r>
        <w:rPr>
          <w:rFonts w:ascii="Book Antiqua" w:hAnsi="Book Antiqua" w:cs="Book Antiqua"/>
          <w:color w:val="000000"/>
          <w:spacing w:val="-2"/>
        </w:rPr>
        <w:tab/>
      </w:r>
      <w:r>
        <w:rPr>
          <w:rFonts w:ascii="Book Antiqua" w:hAnsi="Book Antiqua" w:cs="Book Antiqua"/>
          <w:i/>
          <w:color w:val="000000"/>
          <w:spacing w:val="-2"/>
        </w:rPr>
        <w:t>Pour l’enseignement subventionné</w:t>
      </w:r>
      <w:r>
        <w:rPr>
          <w:rFonts w:ascii="Book Antiqua" w:hAnsi="Book Antiqua" w:cs="Book Antiqua"/>
          <w:color w:val="000000"/>
          <w:spacing w:val="-2"/>
        </w:rPr>
        <w:t>, le rapport établit si les conditions fixées à l’article 24 de la loi du 29 mai 1959 modifiant certaines dispositions de la législation de l’enseignement sont respectées.</w:t>
      </w:r>
    </w:p>
    <w:p>
      <w:pPr>
        <w:tabs>
          <w:tab w:val="left" w:pos="1134"/>
          <w:tab w:val="left" w:pos="1922"/>
          <w:tab w:val="left" w:pos="5335"/>
        </w:tabs>
        <w:spacing w:after="144"/>
        <w:ind w:left="1276" w:hanging="283"/>
        <w:jc w:val="both"/>
        <w:rPr>
          <w:rFonts w:ascii="Book Antiqua" w:hAnsi="Book Antiqua" w:cs="Book Antiqua"/>
          <w:color w:val="000000"/>
          <w:spacing w:val="-2"/>
        </w:rPr>
      </w:pPr>
      <w:r>
        <w:rPr>
          <w:rFonts w:ascii="Book Antiqua" w:hAnsi="Book Antiqua" w:cs="Book Antiqua"/>
          <w:color w:val="000000"/>
          <w:spacing w:val="-2"/>
        </w:rPr>
        <w:tab/>
      </w:r>
      <w:r>
        <w:rPr>
          <w:rFonts w:ascii="Book Antiqua" w:hAnsi="Book Antiqua" w:cs="Book Antiqua"/>
          <w:i/>
          <w:color w:val="000000"/>
          <w:spacing w:val="-2"/>
        </w:rPr>
        <w:t>Pour l’enseignement organisé par la</w:t>
      </w:r>
      <w:r>
        <w:rPr>
          <w:rFonts w:ascii="Book Antiqua" w:hAnsi="Book Antiqua" w:cs="Book Antiqua"/>
          <w:color w:val="000000"/>
          <w:spacing w:val="-4"/>
        </w:rPr>
        <w:t xml:space="preserve"> Fédération Wallonie-Bruxelles,</w:t>
      </w:r>
      <w:r>
        <w:rPr>
          <w:rFonts w:ascii="Book Antiqua" w:hAnsi="Book Antiqua" w:cs="Book Antiqua"/>
          <w:color w:val="000000"/>
          <w:spacing w:val="-2"/>
        </w:rPr>
        <w:t xml:space="preserve"> tout rapport négatif de l'inspection est soumis au Ministre qui peut décider de la suppression de l'option.</w:t>
      </w:r>
    </w:p>
    <w:p>
      <w:pPr>
        <w:pStyle w:val="Corpsdetexte"/>
        <w:spacing w:after="240"/>
        <w:ind w:left="993"/>
        <w:rPr>
          <w:rFonts w:ascii="Book Antiqua" w:hAnsi="Book Antiqua" w:cs="Book Antiqua"/>
          <w:color w:val="000000"/>
          <w:spacing w:val="-2"/>
          <w:sz w:val="20"/>
          <w:szCs w:val="20"/>
        </w:rPr>
      </w:pPr>
      <w:r>
        <w:rPr>
          <w:rFonts w:ascii="Book Antiqua" w:hAnsi="Book Antiqua" w:cs="Book Antiqua"/>
          <w:color w:val="000000"/>
          <w:spacing w:val="-2"/>
          <w:sz w:val="20"/>
          <w:szCs w:val="20"/>
        </w:rPr>
        <w:t>Des tableaux reprenant les normes de création et de maintien d’options de base groupées (OBG) dans l’enseignement secondaire en alternance - « article 49 » - sont repris au point III du présent chapitre et au chapitre VII de la présente circulaire. Il est destiné à faciliter la lecture des dispositions reprises ci-dessous relatives à l’enseignement secondaire en alternance « article 49 ».</w:t>
      </w:r>
    </w:p>
    <w:p>
      <w:pPr>
        <w:pStyle w:val="Corpsdetexte"/>
        <w:spacing w:after="240"/>
        <w:ind w:left="993"/>
        <w:rPr>
          <w:rFonts w:ascii="Book Antiqua" w:hAnsi="Book Antiqua" w:cs="Book Antiqua"/>
          <w:color w:val="000000"/>
          <w:lang w:val="fr-BE"/>
        </w:rPr>
      </w:pPr>
      <w:r>
        <w:rPr>
          <w:rFonts w:ascii="Book Antiqua" w:hAnsi="Book Antiqua" w:cs="Book Antiqua"/>
          <w:color w:val="000000"/>
          <w:spacing w:val="-2"/>
          <w:sz w:val="20"/>
          <w:szCs w:val="20"/>
        </w:rPr>
        <w:t xml:space="preserve">Pour l’application des normes requises, un élève en alternance est pris en compte de manière égale à un élève du plein exercice. </w:t>
      </w:r>
      <w:r>
        <w:rPr>
          <w:rStyle w:val="Caractresdenotedebasdepage"/>
          <w:rFonts w:ascii="Book Antiqua" w:hAnsi="Book Antiqua" w:cs="Book Antiqua"/>
          <w:color w:val="000000"/>
          <w:spacing w:val="-2"/>
          <w:sz w:val="20"/>
          <w:szCs w:val="20"/>
        </w:rPr>
        <w:footnoteReference w:id="170"/>
      </w:r>
    </w:p>
    <w:p>
      <w:pPr>
        <w:ind w:left="993"/>
        <w:jc w:val="both"/>
        <w:rPr>
          <w:rFonts w:ascii="Book Antiqua" w:hAnsi="Book Antiqua" w:cs="Book Antiqua"/>
          <w:color w:val="000000"/>
          <w:lang w:val="fr-BE"/>
        </w:rPr>
      </w:pPr>
      <w:r>
        <w:rPr>
          <w:rFonts w:ascii="Book Antiqua" w:hAnsi="Book Antiqua" w:cs="Book Antiqua"/>
          <w:color w:val="000000"/>
          <w:lang w:val="fr-BE"/>
        </w:rPr>
        <w:t>Pour une bonne compréhension, voir également la suite du chapitre VI et le chapitre VII (Normes de maintien).</w:t>
      </w:r>
    </w:p>
    <w:p>
      <w:pPr>
        <w:suppressAutoHyphens w:val="0"/>
        <w:spacing w:after="200" w:line="276" w:lineRule="auto"/>
        <w:rPr>
          <w:rFonts w:ascii="Book Antiqua" w:hAnsi="Book Antiqua"/>
          <w:bCs/>
          <w:kern w:val="1"/>
          <w:u w:val="single"/>
          <w:lang w:val="fr-BE"/>
        </w:rPr>
      </w:pPr>
      <w:r>
        <w:br w:type="page"/>
      </w:r>
    </w:p>
    <w:p>
      <w:pPr>
        <w:pStyle w:val="niveau4"/>
        <w:ind w:left="709"/>
      </w:pPr>
    </w:p>
    <w:p>
      <w:pPr>
        <w:pStyle w:val="niveau4"/>
        <w:ind w:left="709"/>
      </w:pPr>
      <w:bookmarkStart w:id="79" w:name="_Toc522700798"/>
      <w:r>
        <w:t>1. Programmation d’une option de base groupée simultanément dans l’enseignement secondaire en alternance et dans le plein exercice</w:t>
      </w:r>
      <w:bookmarkEnd w:id="79"/>
    </w:p>
    <w:p>
      <w:pPr>
        <w:spacing w:after="240"/>
        <w:ind w:left="993"/>
        <w:jc w:val="both"/>
      </w:pPr>
      <w:r>
        <w:rPr>
          <w:rFonts w:ascii="Book Antiqua" w:hAnsi="Book Antiqua" w:cs="Book Antiqua"/>
          <w:color w:val="000000"/>
          <w:lang w:val="fr-BE"/>
        </w:rPr>
        <w:t xml:space="preserve">Dans un tel cas, les élèves de l’OBG sont additionnés (alternance et plein exercice). La norme au 1er octobre à respecter est alors celle du plein exercice. </w:t>
      </w:r>
      <w:r>
        <w:rPr>
          <w:rStyle w:val="Caractresdenotedebasdepage"/>
          <w:rFonts w:ascii="Book Antiqua" w:hAnsi="Book Antiqua" w:cs="Book Antiqua"/>
          <w:color w:val="000000"/>
        </w:rPr>
        <w:footnoteReference w:id="171"/>
      </w:r>
    </w:p>
    <w:p>
      <w:pPr>
        <w:pStyle w:val="Corpsdetexte"/>
        <w:rPr>
          <w:rFonts w:ascii="Book Antiqua" w:hAnsi="Book Antiqua"/>
          <w:sz w:val="20"/>
        </w:rPr>
      </w:pPr>
    </w:p>
    <w:p>
      <w:pPr>
        <w:pStyle w:val="Corpsdetexte"/>
        <w:rPr>
          <w:rFonts w:ascii="Book Antiqua" w:hAnsi="Book Antiqua"/>
          <w:b/>
          <w:sz w:val="20"/>
          <w:u w:val="single"/>
        </w:rPr>
      </w:pPr>
      <w:r>
        <w:rPr>
          <w:rFonts w:ascii="Book Antiqua" w:hAnsi="Book Antiqua"/>
          <w:b/>
          <w:sz w:val="20"/>
          <w:u w:val="single"/>
        </w:rPr>
        <w:t xml:space="preserve">Rappel </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 xml:space="preserve">Les directives qui suivent sont extraites de la circulaire n°6498 du 18 janvier 2018 intitulée </w:t>
      </w:r>
      <w:r>
        <w:rPr>
          <w:rFonts w:ascii="Book Antiqua" w:hAnsi="Book Antiqua"/>
          <w:bCs/>
          <w:lang w:val="fr-BE" w:eastAsia="fr-BE"/>
        </w:rPr>
        <w:t>« </w:t>
      </w:r>
      <w:r>
        <w:rPr>
          <w:rFonts w:ascii="Book Antiqua" w:hAnsi="Book Antiqua"/>
          <w:bCs/>
          <w:sz w:val="20"/>
          <w:lang w:val="fr-BE" w:eastAsia="fr-BE"/>
        </w:rPr>
        <w:t>Propositions de structures pour l’année scolaire 2018-2019</w:t>
      </w:r>
      <w:r>
        <w:rPr>
          <w:rFonts w:ascii="Book Antiqua" w:hAnsi="Book Antiqua"/>
          <w:bCs/>
          <w:lang w:val="fr-BE" w:eastAsia="fr-BE"/>
        </w:rPr>
        <w:t> »</w:t>
      </w:r>
    </w:p>
    <w:p>
      <w:pPr>
        <w:pStyle w:val="Corpsdetexte"/>
        <w:rPr>
          <w:rFonts w:ascii="Book Antiqua" w:hAnsi="Book Antiqua"/>
          <w:sz w:val="20"/>
          <w:lang w:val="fr-BE"/>
        </w:rPr>
      </w:pPr>
    </w:p>
    <w:tbl>
      <w:tblPr>
        <w:tblW w:w="0" w:type="auto"/>
        <w:tblCellSpacing w:w="15" w:type="dxa"/>
        <w:tblLayout w:type="fixed"/>
        <w:tblCellMar>
          <w:top w:w="15" w:type="dxa"/>
          <w:left w:w="15" w:type="dxa"/>
          <w:bottom w:w="15" w:type="dxa"/>
          <w:right w:w="15" w:type="dxa"/>
        </w:tblCellMar>
        <w:tblLook w:val="00A0" w:firstRow="1" w:lastRow="0" w:firstColumn="1" w:lastColumn="0" w:noHBand="0" w:noVBand="0"/>
      </w:tblPr>
      <w:tblGrid>
        <w:gridCol w:w="110"/>
      </w:tblGrid>
      <w:tr>
        <w:trPr>
          <w:tblCellSpacing w:w="15" w:type="dxa"/>
        </w:trPr>
        <w:tc>
          <w:tcPr>
            <w:tcW w:w="35" w:type="dxa"/>
            <w:vAlign w:val="center"/>
          </w:tcPr>
          <w:p>
            <w:pPr>
              <w:suppressAutoHyphens w:val="0"/>
              <w:rPr>
                <w:sz w:val="24"/>
                <w:szCs w:val="24"/>
                <w:lang w:val="fr-BE" w:eastAsia="fr-BE"/>
              </w:rPr>
            </w:pPr>
          </w:p>
        </w:tc>
      </w:tr>
    </w:tbl>
    <w:p>
      <w:pPr>
        <w:pStyle w:val="Corpsdetexte"/>
        <w:rPr>
          <w:rFonts w:ascii="Book Antiqua" w:hAnsi="Book Antiqua"/>
          <w:sz w:val="20"/>
        </w:rPr>
      </w:pPr>
      <w:r>
        <w:rPr>
          <w:rFonts w:ascii="Book Antiqua" w:hAnsi="Book Antiqua"/>
          <w:sz w:val="20"/>
        </w:rPr>
        <w:t xml:space="preserve">Des bassins Enseignement qualifiant Formation Emploi (E-F-E) sont désormais en place. L’IPIEQ, instance de pilotage </w:t>
      </w:r>
      <w:proofErr w:type="spellStart"/>
      <w:r>
        <w:rPr>
          <w:rFonts w:ascii="Book Antiqua" w:hAnsi="Book Antiqua"/>
          <w:sz w:val="20"/>
        </w:rPr>
        <w:t>interréseaux</w:t>
      </w:r>
      <w:proofErr w:type="spellEnd"/>
      <w:r>
        <w:rPr>
          <w:rFonts w:ascii="Book Antiqua" w:hAnsi="Book Antiqua"/>
          <w:sz w:val="20"/>
        </w:rPr>
        <w:t xml:space="preserve"> de l’enseignement qualifiant, a par ailleurs été intégrée en tant que « chambre enseignement » du Bassin. </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 xml:space="preserve">La Chambre enseignement du bassin réunit des représentants des conseils de zone confessionnels et non confessionnels, des organisations syndicales, de la chambre </w:t>
      </w:r>
      <w:proofErr w:type="spellStart"/>
      <w:r>
        <w:rPr>
          <w:rFonts w:ascii="Book Antiqua" w:hAnsi="Book Antiqua"/>
          <w:sz w:val="20"/>
        </w:rPr>
        <w:t>sub-régionale</w:t>
      </w:r>
      <w:proofErr w:type="spellEnd"/>
      <w:r>
        <w:rPr>
          <w:rFonts w:ascii="Book Antiqua" w:hAnsi="Book Antiqua"/>
          <w:sz w:val="20"/>
        </w:rPr>
        <w:t xml:space="preserve"> de l’emploi et de la formation (en Wallonie), de la Commission Consultative Formation Emploi Enseignement (à Bruxelles) ainsi que du </w:t>
      </w:r>
      <w:proofErr w:type="spellStart"/>
      <w:r>
        <w:rPr>
          <w:rFonts w:ascii="Book Antiqua" w:hAnsi="Book Antiqua"/>
          <w:sz w:val="20"/>
        </w:rPr>
        <w:t>Forem</w:t>
      </w:r>
      <w:proofErr w:type="spellEnd"/>
      <w:r>
        <w:rPr>
          <w:rFonts w:ascii="Book Antiqua" w:hAnsi="Book Antiqua"/>
          <w:sz w:val="20"/>
        </w:rPr>
        <w:t xml:space="preserve"> (en Wallonie) et d’</w:t>
      </w:r>
      <w:proofErr w:type="spellStart"/>
      <w:r>
        <w:rPr>
          <w:rFonts w:ascii="Book Antiqua" w:hAnsi="Book Antiqua"/>
          <w:sz w:val="20"/>
        </w:rPr>
        <w:t>Actiris</w:t>
      </w:r>
      <w:proofErr w:type="spellEnd"/>
      <w:r>
        <w:rPr>
          <w:rFonts w:ascii="Book Antiqua" w:hAnsi="Book Antiqua"/>
          <w:sz w:val="20"/>
        </w:rPr>
        <w:t xml:space="preserve"> (à Bruxelles). Elle est chargée, notamment, de définir les thématiques communes de l’offre de l’enseignement qualifiant de sa zone. </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Les options de base groupées sont soit classées dans une des thématiques communes ou hors thématiques. Leur programmation relève de conditions différentes.</w:t>
      </w:r>
    </w:p>
    <w:p>
      <w:pPr>
        <w:pStyle w:val="Corpsdetexte"/>
        <w:rPr>
          <w:rFonts w:ascii="Book Antiqua" w:hAnsi="Book Antiqua"/>
          <w:sz w:val="20"/>
        </w:rPr>
      </w:pPr>
    </w:p>
    <w:p>
      <w:pPr>
        <w:pStyle w:val="Corpsdetexte"/>
        <w:spacing w:after="120"/>
        <w:rPr>
          <w:rFonts w:ascii="Book Antiqua" w:hAnsi="Book Antiqua"/>
          <w:sz w:val="20"/>
        </w:rPr>
      </w:pPr>
      <w:r>
        <w:rPr>
          <w:rFonts w:ascii="Book Antiqua" w:hAnsi="Book Antiqua"/>
          <w:sz w:val="20"/>
        </w:rPr>
        <w:t xml:space="preserve">La programmation d’une option de base groupée ne faisant pas partie des thématiques communes définies dans un bassin considéré sera soumise à une condition supplémentaire : si elle est organisée en au moins deux exemplaires, elle doit avoir rassemblé, dans la zone, en moyenne lors des deux années scolaires précédant l’année scolaire de la demande au moins 2 fois le nombre d’élèves requis pour une création. Cette nouvelle règle est elle-même soumise à dérogation sur base de critères géographiques et/ou d’équilibre entre les caractères. </w:t>
      </w:r>
    </w:p>
    <w:p>
      <w:pPr>
        <w:pStyle w:val="Corpsdetexte"/>
        <w:tabs>
          <w:tab w:val="left" w:pos="1418"/>
        </w:tabs>
        <w:ind w:left="1418"/>
        <w:rPr>
          <w:rFonts w:ascii="Book Antiqua" w:hAnsi="Book Antiqua"/>
          <w:sz w:val="20"/>
        </w:rPr>
      </w:pPr>
      <w:r>
        <w:rPr>
          <w:rFonts w:ascii="Book Antiqua" w:hAnsi="Book Antiqua"/>
          <w:sz w:val="20"/>
        </w:rPr>
        <w:t>« Si l'option de base groupée est organisée en au moins 2 exemplaires en plein exercice dans la zone au 1</w:t>
      </w:r>
      <w:r>
        <w:rPr>
          <w:rFonts w:ascii="Book Antiqua" w:hAnsi="Book Antiqua"/>
          <w:sz w:val="20"/>
          <w:vertAlign w:val="superscript"/>
        </w:rPr>
        <w:t>er</w:t>
      </w:r>
      <w:r>
        <w:rPr>
          <w:rFonts w:ascii="Book Antiqua" w:hAnsi="Book Antiqua"/>
          <w:sz w:val="20"/>
        </w:rPr>
        <w:t xml:space="preserve"> octobre de l'année de la demande de programmation (01/10/2017 pour une demande introduite en 2017-2018), une nouvelle programmation n'est autorisée que si l'option de base groupée a rassemblé, dans la zone concernée, en moyenne lors des deux années scolaires précédant l'année scolaire de la demande (2015-2016 et 2016-2017) au moins 2 fois le nombre d'élèves requis pour une création.</w:t>
      </w:r>
    </w:p>
    <w:p>
      <w:pPr>
        <w:pStyle w:val="Corpsdetexte"/>
        <w:tabs>
          <w:tab w:val="left" w:pos="1418"/>
        </w:tabs>
        <w:ind w:left="1418"/>
        <w:rPr>
          <w:rFonts w:ascii="Book Antiqua" w:hAnsi="Book Antiqua"/>
          <w:sz w:val="20"/>
        </w:rPr>
      </w:pPr>
    </w:p>
    <w:p>
      <w:pPr>
        <w:pStyle w:val="Corpsdetexte"/>
        <w:tabs>
          <w:tab w:val="left" w:pos="1418"/>
        </w:tabs>
        <w:ind w:left="1418"/>
        <w:rPr>
          <w:rFonts w:ascii="Book Antiqua" w:hAnsi="Book Antiqua"/>
          <w:sz w:val="20"/>
        </w:rPr>
      </w:pPr>
      <w:r>
        <w:rPr>
          <w:rFonts w:ascii="Book Antiqua" w:hAnsi="Book Antiqua"/>
          <w:sz w:val="20"/>
        </w:rPr>
        <w:t>Pour calculer cette moyenne, il sera pris en compte uniquement les élèves réguliers de 5</w:t>
      </w:r>
      <w:r>
        <w:rPr>
          <w:rFonts w:ascii="Book Antiqua" w:hAnsi="Book Antiqua"/>
          <w:sz w:val="20"/>
          <w:vertAlign w:val="superscript"/>
        </w:rPr>
        <w:t>e</w:t>
      </w:r>
      <w:r>
        <w:rPr>
          <w:rFonts w:ascii="Book Antiqua" w:hAnsi="Book Antiqua"/>
          <w:sz w:val="20"/>
        </w:rPr>
        <w:t xml:space="preserve"> année inscrits au 15 janvier de l'année scolaire visée dans l'option de base groupée organisée en plein exercice dans la zone concernée et les élèves réguliers de 5</w:t>
      </w:r>
      <w:r>
        <w:rPr>
          <w:rFonts w:ascii="Book Antiqua" w:hAnsi="Book Antiqua"/>
          <w:sz w:val="20"/>
          <w:vertAlign w:val="superscript"/>
        </w:rPr>
        <w:t>e</w:t>
      </w:r>
      <w:r>
        <w:rPr>
          <w:rFonts w:ascii="Book Antiqua" w:hAnsi="Book Antiqua"/>
          <w:sz w:val="20"/>
        </w:rPr>
        <w:t xml:space="preserve"> année inscrits au 15 janvier de l'année scolaire visée dans l'option de base groupée organisée en alternance dans la zone concernée si l'établissement dans lequel ils sont inscrits organise l'option de base groupée </w:t>
      </w:r>
      <w:r>
        <w:rPr>
          <w:rFonts w:ascii="Book Antiqua" w:hAnsi="Book Antiqua"/>
          <w:b/>
          <w:sz w:val="20"/>
          <w:u w:val="single"/>
        </w:rPr>
        <w:t>à la fois en plein exercice et en alternance</w:t>
      </w:r>
      <w:r>
        <w:rPr>
          <w:rFonts w:ascii="Book Antiqua" w:hAnsi="Book Antiqua"/>
          <w:sz w:val="20"/>
        </w:rPr>
        <w:t xml:space="preserve">. Il sera également pris en compte uniquement les établissements qui scolarisent au moins un des élèves </w:t>
      </w:r>
      <w:r>
        <w:rPr>
          <w:rFonts w:ascii="Book Antiqua" w:hAnsi="Book Antiqua"/>
          <w:b/>
          <w:sz w:val="20"/>
          <w:u w:val="single"/>
        </w:rPr>
        <w:t>de l’enseignement de plein exercice ou en alternance</w:t>
      </w:r>
      <w:r>
        <w:rPr>
          <w:rFonts w:ascii="Book Antiqua" w:hAnsi="Book Antiqua"/>
          <w:sz w:val="20"/>
        </w:rPr>
        <w:t>. Pour établir la moyenne annuelle, la somme des élèves est divisée par le nombre d'établissements.</w:t>
      </w:r>
    </w:p>
    <w:p>
      <w:pPr>
        <w:pStyle w:val="Corpsdetexte"/>
        <w:tabs>
          <w:tab w:val="left" w:pos="1418"/>
        </w:tabs>
        <w:ind w:left="1418"/>
        <w:rPr>
          <w:rFonts w:ascii="Book Antiqua" w:hAnsi="Book Antiqua"/>
          <w:sz w:val="20"/>
        </w:rPr>
      </w:pPr>
      <w:r>
        <w:rPr>
          <w:rFonts w:ascii="Book Antiqua" w:hAnsi="Book Antiqua"/>
          <w:sz w:val="20"/>
        </w:rPr>
        <w:lastRenderedPageBreak/>
        <w:br/>
        <w:t xml:space="preserve">La moyenne sur deux années scolaires consécutives est la moyenne des deux moyennes annuelles. » </w:t>
      </w:r>
      <w:r>
        <w:rPr>
          <w:rStyle w:val="Appelnotedebasdep"/>
          <w:rFonts w:ascii="Book Antiqua" w:hAnsi="Book Antiqua"/>
          <w:sz w:val="20"/>
        </w:rPr>
        <w:footnoteReference w:id="172"/>
      </w:r>
    </w:p>
    <w:p>
      <w:pPr>
        <w:pStyle w:val="Corpsdetexte"/>
        <w:tabs>
          <w:tab w:val="left" w:pos="1418"/>
        </w:tabs>
        <w:ind w:left="1418"/>
        <w:rPr>
          <w:rFonts w:ascii="Book Antiqua" w:hAnsi="Book Antiqua"/>
          <w:i/>
          <w:sz w:val="20"/>
        </w:rPr>
      </w:pPr>
    </w:p>
    <w:p>
      <w:pPr>
        <w:pStyle w:val="Corpsdetexte"/>
        <w:rPr>
          <w:rFonts w:ascii="Book Antiqua" w:hAnsi="Book Antiqua"/>
          <w:sz w:val="20"/>
        </w:rPr>
      </w:pPr>
      <w:r>
        <w:rPr>
          <w:rFonts w:ascii="Book Antiqua" w:hAnsi="Book Antiqua"/>
          <w:sz w:val="20"/>
        </w:rPr>
        <w:t>Cette nouvelle règle est elle-même soumise à dérogation sur base de critères géographiques et/ou d’équilibre entre les caractères.</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 xml:space="preserve">La création d’une option de base groupée au deuxième degré implique </w:t>
      </w:r>
      <w:r>
        <w:rPr>
          <w:rFonts w:ascii="Book Antiqua" w:hAnsi="Book Antiqua"/>
          <w:b/>
          <w:sz w:val="20"/>
          <w:u w:val="single"/>
        </w:rPr>
        <w:t>obligatoirement</w:t>
      </w:r>
      <w:r>
        <w:rPr>
          <w:rFonts w:ascii="Book Antiqua" w:hAnsi="Book Antiqua"/>
          <w:sz w:val="20"/>
        </w:rPr>
        <w:t xml:space="preserve"> dans les 3 ans la création d’une option du même secteur au troisième degré (ou la modification de la proposition d’une option existante sur avis du comité de concertation et du Conseil général de concertation) afin d’assurer une continuité logique à l’offre d’enseignement. Toutefois, si cette OBG ne fait pas partie des thématiques communes des bassins E-F-E, elle devra répondre à la condition décrite ci-avant</w:t>
      </w:r>
      <w:r>
        <w:rPr>
          <w:rFonts w:ascii="Book Antiqua" w:hAnsi="Book Antiqua"/>
          <w:i/>
          <w:sz w:val="20"/>
        </w:rPr>
        <w:t xml:space="preserve">. </w:t>
      </w:r>
      <w:r>
        <w:rPr>
          <w:rFonts w:ascii="Book Antiqua" w:hAnsi="Book Antiqua"/>
          <w:sz w:val="20"/>
        </w:rPr>
        <w:t>Dans ce cadre aussi, la programmation d’une 7</w:t>
      </w:r>
      <w:r>
        <w:rPr>
          <w:rFonts w:ascii="Book Antiqua" w:hAnsi="Book Antiqua"/>
          <w:sz w:val="20"/>
          <w:vertAlign w:val="superscript"/>
        </w:rPr>
        <w:t>e</w:t>
      </w:r>
      <w:r>
        <w:rPr>
          <w:rFonts w:ascii="Book Antiqua" w:hAnsi="Book Antiqua"/>
          <w:sz w:val="20"/>
        </w:rPr>
        <w:t xml:space="preserve">PB organisée pour compléter une option du troisième degré se verra aider par une norme de création plus favorable à condition d’obtenir un avis conforme du Conseil général de concertation. </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Les 7</w:t>
      </w:r>
      <w:r>
        <w:rPr>
          <w:rFonts w:ascii="Book Antiqua" w:hAnsi="Book Antiqua"/>
          <w:sz w:val="20"/>
          <w:vertAlign w:val="superscript"/>
        </w:rPr>
        <w:t>e</w:t>
      </w:r>
      <w:r>
        <w:rPr>
          <w:rFonts w:ascii="Book Antiqua" w:hAnsi="Book Antiqua"/>
          <w:sz w:val="20"/>
        </w:rPr>
        <w:t xml:space="preserve"> sans normes (SN) de création nécessitent également une programmation comme toute OBG.</w:t>
      </w:r>
    </w:p>
    <w:p>
      <w:pPr>
        <w:pStyle w:val="Corpsdetexte"/>
        <w:rPr>
          <w:rFonts w:ascii="Book Antiqua" w:hAnsi="Book Antiqua"/>
          <w:sz w:val="20"/>
        </w:rPr>
      </w:pPr>
    </w:p>
    <w:p>
      <w:pPr>
        <w:pStyle w:val="Corpsdetexte"/>
        <w:rPr>
          <w:rFonts w:ascii="Book Antiqua" w:hAnsi="Book Antiqua"/>
          <w:b/>
          <w:sz w:val="20"/>
        </w:rPr>
      </w:pPr>
      <w:r>
        <w:rPr>
          <w:rFonts w:ascii="Book Antiqua" w:hAnsi="Book Antiqua"/>
          <w:b/>
          <w:sz w:val="20"/>
        </w:rPr>
        <w:t>Les thématiques communes des bassins E-F-E peuvent être consultées sur le site http://bassinefe.be/</w:t>
      </w:r>
    </w:p>
    <w:p>
      <w:pPr>
        <w:pStyle w:val="Corpsdetexte"/>
        <w:rPr>
          <w:rFonts w:ascii="Book Antiqua" w:hAnsi="Book Antiqua"/>
          <w:sz w:val="20"/>
        </w:rPr>
      </w:pPr>
    </w:p>
    <w:p>
      <w:pPr>
        <w:pStyle w:val="Corpsdetexte"/>
        <w:rPr>
          <w:rFonts w:ascii="Book Antiqua" w:hAnsi="Book Antiqua"/>
          <w:sz w:val="20"/>
        </w:rPr>
      </w:pPr>
      <w:bookmarkStart w:id="80" w:name="_Toc422999686"/>
      <w:r>
        <w:rPr>
          <w:rFonts w:ascii="Book Antiqua" w:hAnsi="Book Antiqua"/>
          <w:sz w:val="20"/>
          <w:u w:val="single"/>
        </w:rPr>
        <w:t>L’administration fera rapport annuel sur les créations d’options, de telle manière à informer le Gouvernement de l’application des normes et le Conseil général fera rapport tous les trois ans sur les options de base groupées dont il s’indique de favoriser la création</w:t>
      </w:r>
      <w:r>
        <w:rPr>
          <w:rFonts w:ascii="Book Antiqua" w:hAnsi="Book Antiqua"/>
          <w:sz w:val="20"/>
        </w:rPr>
        <w:t>.</w:t>
      </w:r>
      <w:bookmarkEnd w:id="80"/>
      <w:r>
        <w:rPr>
          <w:rFonts w:ascii="Book Antiqua" w:hAnsi="Book Antiqua"/>
          <w:sz w:val="20"/>
        </w:rPr>
        <w:t xml:space="preserve"> </w:t>
      </w:r>
    </w:p>
    <w:p>
      <w:pPr>
        <w:pStyle w:val="niveau4"/>
        <w:rPr>
          <w:rFonts w:cs="Book Antiqua"/>
          <w:color w:val="000000"/>
        </w:rPr>
      </w:pPr>
      <w:bookmarkStart w:id="81" w:name="_Toc522700799"/>
      <w:r>
        <w:t>2. Programmation d’une option de base groupée uniquement dans l’enseignement secondaire en alternance</w:t>
      </w:r>
      <w:r>
        <w:rPr>
          <w:u w:val="none"/>
        </w:rPr>
        <w:t xml:space="preserve"> </w:t>
      </w:r>
      <w:r>
        <w:rPr>
          <w:rStyle w:val="Caractresdenotedebasdepage"/>
          <w:color w:val="000000"/>
          <w:u w:val="none"/>
        </w:rPr>
        <w:footnoteReference w:id="173"/>
      </w:r>
      <w:bookmarkEnd w:id="81"/>
    </w:p>
    <w:p>
      <w:pPr>
        <w:spacing w:after="240"/>
        <w:ind w:left="993"/>
        <w:jc w:val="both"/>
        <w:rPr>
          <w:rFonts w:ascii="Book Antiqua" w:hAnsi="Book Antiqua" w:cs="Book Antiqua"/>
          <w:color w:val="000000"/>
          <w:lang w:val="fr-BE"/>
        </w:rPr>
      </w:pPr>
      <w:r>
        <w:rPr>
          <w:rFonts w:ascii="Book Antiqua" w:hAnsi="Book Antiqua" w:cs="Book Antiqua"/>
          <w:color w:val="000000"/>
          <w:lang w:val="fr-BE"/>
        </w:rPr>
        <w:t xml:space="preserve">Dans un établissement, lorsqu’une OBG est créée uniquement dans l’enseignement en alternance, elle appartient au patrimoine exclusif de l’enseignement en alternance de l’établissement. </w:t>
      </w:r>
    </w:p>
    <w:p>
      <w:pPr>
        <w:ind w:left="993"/>
        <w:jc w:val="both"/>
        <w:rPr>
          <w:rFonts w:ascii="Book Antiqua" w:hAnsi="Book Antiqua" w:cs="Book Antiqua"/>
          <w:color w:val="000000"/>
          <w:lang w:val="fr-BE"/>
        </w:rPr>
      </w:pPr>
      <w:r>
        <w:rPr>
          <w:rFonts w:ascii="Book Antiqua" w:hAnsi="Book Antiqua" w:cs="Book Antiqua"/>
          <w:color w:val="000000"/>
          <w:lang w:val="fr-BE"/>
        </w:rPr>
        <w:t>Tout établissement d’enseignement secondaire ordinaire de plein exercice, siège ou coopérant d’un CEFA, peut, dans le respect des modalités de prise de décision fixées par son pouvoir organisateur, proposer au Conseil de direction de programmer une option de base groupée en alternance figurant au répertoire des options de l’enseignement de plein exercice.</w:t>
      </w:r>
    </w:p>
    <w:p>
      <w:pPr>
        <w:ind w:left="993"/>
        <w:jc w:val="both"/>
        <w:rPr>
          <w:rFonts w:ascii="Book Antiqua" w:hAnsi="Book Antiqua" w:cs="Book Antiqua"/>
          <w:color w:val="000000"/>
          <w:lang w:val="fr-BE"/>
        </w:rPr>
      </w:pPr>
    </w:p>
    <w:p>
      <w:pPr>
        <w:ind w:left="993"/>
        <w:jc w:val="both"/>
        <w:rPr>
          <w:rFonts w:ascii="Book Antiqua" w:hAnsi="Book Antiqua" w:cs="Book Antiqua"/>
          <w:color w:val="000000"/>
          <w:lang w:val="fr-BE"/>
        </w:rPr>
      </w:pPr>
    </w:p>
    <w:p>
      <w:pPr>
        <w:jc w:val="both"/>
        <w:rPr>
          <w:rFonts w:ascii="Book Antiqua" w:hAnsi="Book Antiqua" w:cs="Book Antiqua"/>
          <w:color w:val="000000"/>
          <w:lang w:val="fr-BE"/>
        </w:rPr>
      </w:pPr>
    </w:p>
    <w:tbl>
      <w:tblPr>
        <w:tblW w:w="0" w:type="auto"/>
        <w:tblInd w:w="-5" w:type="dxa"/>
        <w:tblLayout w:type="fixed"/>
        <w:tblCellMar>
          <w:left w:w="70" w:type="dxa"/>
          <w:right w:w="70" w:type="dxa"/>
        </w:tblCellMar>
        <w:tblLook w:val="0000" w:firstRow="0" w:lastRow="0" w:firstColumn="0" w:lastColumn="0" w:noHBand="0" w:noVBand="0"/>
      </w:tblPr>
      <w:tblGrid>
        <w:gridCol w:w="1927"/>
        <w:gridCol w:w="1928"/>
        <w:gridCol w:w="1928"/>
        <w:gridCol w:w="1928"/>
        <w:gridCol w:w="1938"/>
      </w:tblGrid>
      <w:tr>
        <w:tc>
          <w:tcPr>
            <w:tcW w:w="1927" w:type="dxa"/>
            <w:tcBorders>
              <w:top w:val="single" w:sz="4" w:space="0" w:color="000000"/>
              <w:left w:val="single" w:sz="4" w:space="0" w:color="000000"/>
              <w:bottom w:val="single" w:sz="4" w:space="0" w:color="000000"/>
            </w:tcBorders>
          </w:tcPr>
          <w:p>
            <w:pPr>
              <w:snapToGrid w:val="0"/>
              <w:jc w:val="center"/>
              <w:rPr>
                <w:b/>
                <w:color w:val="000000"/>
                <w:sz w:val="18"/>
                <w:szCs w:val="18"/>
                <w:lang w:val="fr-BE"/>
              </w:rPr>
            </w:pPr>
            <w:r>
              <w:rPr>
                <w:b/>
                <w:color w:val="000000"/>
                <w:sz w:val="18"/>
                <w:szCs w:val="18"/>
                <w:lang w:val="fr-BE"/>
              </w:rPr>
              <w:t>Situation</w:t>
            </w:r>
          </w:p>
        </w:tc>
        <w:tc>
          <w:tcPr>
            <w:tcW w:w="1928" w:type="dxa"/>
            <w:tcBorders>
              <w:top w:val="single" w:sz="4" w:space="0" w:color="000000"/>
              <w:left w:val="single" w:sz="4" w:space="0" w:color="000000"/>
              <w:bottom w:val="single" w:sz="4" w:space="0" w:color="000000"/>
            </w:tcBorders>
          </w:tcPr>
          <w:p>
            <w:pPr>
              <w:snapToGrid w:val="0"/>
              <w:jc w:val="center"/>
              <w:rPr>
                <w:b/>
                <w:color w:val="000000"/>
                <w:sz w:val="18"/>
                <w:szCs w:val="18"/>
                <w:lang w:val="fr-BE"/>
              </w:rPr>
            </w:pPr>
            <w:r>
              <w:rPr>
                <w:b/>
                <w:color w:val="000000"/>
                <w:sz w:val="18"/>
                <w:szCs w:val="18"/>
                <w:lang w:val="fr-BE"/>
              </w:rPr>
              <w:t>Procédure à respecter</w:t>
            </w:r>
          </w:p>
        </w:tc>
        <w:tc>
          <w:tcPr>
            <w:tcW w:w="1928" w:type="dxa"/>
            <w:tcBorders>
              <w:top w:val="single" w:sz="4" w:space="0" w:color="000000"/>
              <w:left w:val="single" w:sz="4" w:space="0" w:color="000000"/>
              <w:bottom w:val="single" w:sz="4" w:space="0" w:color="000000"/>
            </w:tcBorders>
          </w:tcPr>
          <w:p>
            <w:pPr>
              <w:snapToGrid w:val="0"/>
              <w:jc w:val="center"/>
              <w:rPr>
                <w:b/>
                <w:color w:val="000000"/>
                <w:sz w:val="18"/>
                <w:szCs w:val="18"/>
                <w:lang w:val="fr-BE"/>
              </w:rPr>
            </w:pPr>
            <w:r>
              <w:rPr>
                <w:b/>
                <w:color w:val="000000"/>
                <w:sz w:val="18"/>
                <w:szCs w:val="18"/>
                <w:lang w:val="fr-BE"/>
              </w:rPr>
              <w:t>Condition à remplir</w:t>
            </w:r>
          </w:p>
        </w:tc>
        <w:tc>
          <w:tcPr>
            <w:tcW w:w="1928" w:type="dxa"/>
            <w:tcBorders>
              <w:top w:val="single" w:sz="4" w:space="0" w:color="000000"/>
              <w:left w:val="single" w:sz="4" w:space="0" w:color="000000"/>
              <w:bottom w:val="single" w:sz="4" w:space="0" w:color="000000"/>
            </w:tcBorders>
          </w:tcPr>
          <w:p>
            <w:pPr>
              <w:snapToGrid w:val="0"/>
              <w:jc w:val="center"/>
              <w:rPr>
                <w:b/>
                <w:color w:val="000000"/>
                <w:sz w:val="18"/>
                <w:szCs w:val="18"/>
                <w:lang w:val="fr-BE"/>
              </w:rPr>
            </w:pPr>
            <w:r>
              <w:rPr>
                <w:b/>
                <w:color w:val="000000"/>
                <w:sz w:val="18"/>
                <w:szCs w:val="18"/>
                <w:lang w:val="fr-BE"/>
              </w:rPr>
              <w:t>Remarque</w:t>
            </w:r>
          </w:p>
        </w:tc>
        <w:tc>
          <w:tcPr>
            <w:tcW w:w="1938" w:type="dxa"/>
            <w:tcBorders>
              <w:top w:val="single" w:sz="4" w:space="0" w:color="000000"/>
              <w:left w:val="single" w:sz="4" w:space="0" w:color="000000"/>
              <w:bottom w:val="single" w:sz="4" w:space="0" w:color="000000"/>
              <w:right w:val="single" w:sz="4" w:space="0" w:color="000000"/>
            </w:tcBorders>
          </w:tcPr>
          <w:p>
            <w:pPr>
              <w:snapToGrid w:val="0"/>
              <w:jc w:val="center"/>
              <w:rPr>
                <w:b/>
                <w:color w:val="000000"/>
                <w:sz w:val="18"/>
                <w:szCs w:val="18"/>
                <w:lang w:val="fr-BE"/>
              </w:rPr>
            </w:pPr>
            <w:r>
              <w:rPr>
                <w:b/>
                <w:color w:val="000000"/>
                <w:sz w:val="18"/>
                <w:szCs w:val="18"/>
                <w:lang w:val="fr-BE"/>
              </w:rPr>
              <w:t>Dossier à introduire</w:t>
            </w:r>
          </w:p>
        </w:tc>
      </w:tr>
      <w:tr>
        <w:trPr>
          <w:trHeight w:val="2072"/>
        </w:trPr>
        <w:tc>
          <w:tcPr>
            <w:tcW w:w="1927"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lang w:val="fr-BE"/>
              </w:rPr>
              <w:t>L’OBG est programmée uniquement sous la forme d’un enseignement secondaire en alternance.</w:t>
            </w:r>
          </w:p>
          <w:p>
            <w:pPr>
              <w:rPr>
                <w:color w:val="000000"/>
                <w:sz w:val="18"/>
                <w:szCs w:val="18"/>
                <w:lang w:val="fr-BE"/>
              </w:rPr>
            </w:pPr>
          </w:p>
        </w:tc>
        <w:tc>
          <w:tcPr>
            <w:tcW w:w="1928"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lang w:val="fr-BE"/>
              </w:rPr>
              <w:t>Demander :</w:t>
            </w:r>
          </w:p>
          <w:p>
            <w:pPr>
              <w:numPr>
                <w:ilvl w:val="0"/>
                <w:numId w:val="27"/>
              </w:numPr>
              <w:rPr>
                <w:color w:val="000000"/>
                <w:sz w:val="18"/>
                <w:szCs w:val="18"/>
                <w:lang w:val="fr-BE"/>
              </w:rPr>
            </w:pPr>
            <w:r>
              <w:rPr>
                <w:color w:val="000000"/>
                <w:sz w:val="18"/>
                <w:szCs w:val="18"/>
                <w:lang w:val="fr-BE"/>
              </w:rPr>
              <w:t xml:space="preserve">l’accord du Conseil de direction </w:t>
            </w:r>
          </w:p>
          <w:p>
            <w:pPr>
              <w:pStyle w:val="NormalWeb"/>
              <w:numPr>
                <w:ilvl w:val="0"/>
                <w:numId w:val="27"/>
              </w:numPr>
              <w:spacing w:before="0" w:after="0"/>
              <w:rPr>
                <w:color w:val="000000"/>
                <w:sz w:val="18"/>
                <w:szCs w:val="18"/>
                <w:lang w:val="fr-BE"/>
              </w:rPr>
            </w:pPr>
            <w:r>
              <w:rPr>
                <w:color w:val="000000"/>
                <w:sz w:val="18"/>
                <w:szCs w:val="18"/>
                <w:lang w:val="fr-BE"/>
              </w:rPr>
              <w:t>la programmation au Conseil de zone (Comité de concertation pour OBG R, CGC pour OBG R2, selon les cas).</w:t>
            </w:r>
          </w:p>
        </w:tc>
        <w:tc>
          <w:tcPr>
            <w:tcW w:w="1928"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lang w:val="fr-BE"/>
              </w:rPr>
              <w:t xml:space="preserve">Etre établissement secondaire de plein exercice coopérant l’année scolaire de la programmation de l’OBG. </w:t>
            </w:r>
            <w:r>
              <w:rPr>
                <w:rStyle w:val="Caractresdenotedebasdepage"/>
                <w:color w:val="000000"/>
                <w:sz w:val="18"/>
                <w:szCs w:val="18"/>
                <w:lang w:val="fr-BE"/>
              </w:rPr>
              <w:footnoteReference w:id="174"/>
            </w:r>
          </w:p>
          <w:p>
            <w:pPr>
              <w:rPr>
                <w:color w:val="000000"/>
                <w:sz w:val="18"/>
                <w:szCs w:val="18"/>
                <w:lang w:val="fr-BE"/>
              </w:rPr>
            </w:pPr>
            <w:r>
              <w:rPr>
                <w:color w:val="000000"/>
                <w:sz w:val="18"/>
                <w:szCs w:val="18"/>
                <w:lang w:val="fr-BE"/>
              </w:rPr>
              <w:t xml:space="preserve">La </w:t>
            </w:r>
            <w:r>
              <w:rPr>
                <w:b/>
                <w:color w:val="000000"/>
                <w:sz w:val="18"/>
                <w:szCs w:val="18"/>
                <w:lang w:val="fr-BE"/>
              </w:rPr>
              <w:t>norme</w:t>
            </w:r>
            <w:r>
              <w:rPr>
                <w:color w:val="000000"/>
                <w:sz w:val="18"/>
                <w:szCs w:val="18"/>
                <w:lang w:val="fr-BE"/>
              </w:rPr>
              <w:t xml:space="preserve"> de création doit être atteinte le 1 octobre.</w:t>
            </w:r>
          </w:p>
        </w:tc>
        <w:tc>
          <w:tcPr>
            <w:tcW w:w="1928"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lang w:val="fr-BE"/>
              </w:rPr>
              <w:t>Au 15 janvier de chaque année, la population scolaire doit répondre aux mêmes conditions d’existence que celles appliquées dans l’enseignement de plein exercice c’est-à-dire aux normes de maintien.</w:t>
            </w:r>
          </w:p>
          <w:p>
            <w:pPr>
              <w:rPr>
                <w:color w:val="000000"/>
                <w:sz w:val="18"/>
                <w:szCs w:val="18"/>
                <w:lang w:val="fr-BE"/>
              </w:rPr>
            </w:pPr>
          </w:p>
        </w:tc>
        <w:tc>
          <w:tcPr>
            <w:tcW w:w="1938" w:type="dxa"/>
            <w:tcBorders>
              <w:top w:val="single" w:sz="4" w:space="0" w:color="000000"/>
              <w:left w:val="single" w:sz="4" w:space="0" w:color="000000"/>
              <w:bottom w:val="single" w:sz="4" w:space="0" w:color="000000"/>
              <w:right w:val="single" w:sz="4" w:space="0" w:color="000000"/>
            </w:tcBorders>
          </w:tcPr>
          <w:p>
            <w:pPr>
              <w:snapToGrid w:val="0"/>
              <w:rPr>
                <w:color w:val="000000"/>
                <w:sz w:val="18"/>
                <w:szCs w:val="18"/>
                <w:lang w:val="fr-BE"/>
              </w:rPr>
            </w:pPr>
            <w:r>
              <w:rPr>
                <w:color w:val="000000"/>
                <w:sz w:val="18"/>
                <w:szCs w:val="18"/>
                <w:lang w:val="fr-BE"/>
              </w:rPr>
              <w:t>Il convient d’introduire une demande de programmation via l’application GOSS2.</w:t>
            </w:r>
          </w:p>
        </w:tc>
      </w:tr>
    </w:tbl>
    <w:p>
      <w:pPr>
        <w:pStyle w:val="niveau4"/>
        <w:spacing w:before="0" w:after="0"/>
      </w:pPr>
    </w:p>
    <w:p>
      <w:pPr>
        <w:pStyle w:val="niveau4"/>
        <w:spacing w:before="120" w:after="120"/>
        <w:ind w:left="708" w:firstLine="1"/>
        <w:rPr>
          <w:rFonts w:cs="Book Antiqua"/>
          <w:color w:val="000000"/>
        </w:rPr>
      </w:pPr>
      <w:bookmarkStart w:id="82" w:name="_Toc522700800"/>
      <w:r>
        <w:lastRenderedPageBreak/>
        <w:t>3. Dédoublement d’une option de base groupée qui est déjà organisée dans l’enseignement de plein exercice</w:t>
      </w:r>
      <w:r>
        <w:rPr>
          <w:u w:val="none"/>
        </w:rPr>
        <w:t xml:space="preserve"> </w:t>
      </w:r>
      <w:r>
        <w:rPr>
          <w:rStyle w:val="Caractresdenotedebasdepage"/>
          <w:color w:val="000000"/>
          <w:u w:val="none"/>
        </w:rPr>
        <w:footnoteReference w:id="175"/>
      </w:r>
      <w:bookmarkEnd w:id="82"/>
    </w:p>
    <w:p>
      <w:pPr>
        <w:spacing w:after="240"/>
        <w:ind w:left="993"/>
        <w:jc w:val="both"/>
        <w:rPr>
          <w:rFonts w:ascii="Book Antiqua" w:hAnsi="Book Antiqua" w:cs="Book Antiqua"/>
          <w:color w:val="000000"/>
          <w:lang w:val="fr-BE"/>
        </w:rPr>
      </w:pPr>
      <w:r>
        <w:rPr>
          <w:rFonts w:ascii="Book Antiqua" w:hAnsi="Book Antiqua" w:cs="Book Antiqua"/>
          <w:color w:val="000000"/>
          <w:lang w:val="fr-BE"/>
        </w:rPr>
        <w:t>Dans un établissement, lorsqu’une OBG a été créée, à l’origine, dans l’enseignement de plein exercice, elle peut être organisée en alternance, ou simultanément ou alternativement dans l’enseignement en plein exercice et/ou en alternance. Considérant qu’il s’agit toujours de la même</w:t>
      </w:r>
      <w:r>
        <w:rPr>
          <w:rFonts w:ascii="Book Antiqua" w:hAnsi="Book Antiqua" w:cs="Book Antiqua"/>
          <w:i/>
          <w:color w:val="000000"/>
          <w:lang w:val="fr-BE"/>
        </w:rPr>
        <w:t xml:space="preserve"> </w:t>
      </w:r>
      <w:r>
        <w:rPr>
          <w:rFonts w:ascii="Book Antiqua" w:hAnsi="Book Antiqua" w:cs="Book Antiqua"/>
          <w:color w:val="000000"/>
          <w:lang w:val="fr-BE"/>
        </w:rPr>
        <w:t>OBG qui appartient au patrimoine de l’établissement, elle peut être organisée dans la 1</w:t>
      </w:r>
      <w:r>
        <w:rPr>
          <w:rFonts w:ascii="Book Antiqua" w:hAnsi="Book Antiqua" w:cs="Book Antiqua"/>
          <w:color w:val="000000"/>
          <w:vertAlign w:val="superscript"/>
          <w:lang w:val="fr-BE"/>
        </w:rPr>
        <w:t>ère</w:t>
      </w:r>
      <w:r>
        <w:rPr>
          <w:rFonts w:ascii="Book Antiqua" w:hAnsi="Book Antiqua" w:cs="Book Antiqua"/>
          <w:color w:val="000000"/>
          <w:lang w:val="fr-BE"/>
        </w:rPr>
        <w:t xml:space="preserve"> et/ou 2</w:t>
      </w:r>
      <w:r>
        <w:rPr>
          <w:rFonts w:ascii="Book Antiqua" w:hAnsi="Book Antiqua" w:cs="Book Antiqua"/>
          <w:color w:val="000000"/>
          <w:vertAlign w:val="superscript"/>
          <w:lang w:val="fr-BE"/>
        </w:rPr>
        <w:t>ème</w:t>
      </w:r>
      <w:r>
        <w:rPr>
          <w:rFonts w:ascii="Book Antiqua" w:hAnsi="Book Antiqua" w:cs="Book Antiqua"/>
          <w:color w:val="000000"/>
          <w:lang w:val="fr-BE"/>
        </w:rPr>
        <w:t xml:space="preserve"> année du degré. Cette organisation est appelée </w:t>
      </w:r>
      <w:r>
        <w:rPr>
          <w:rFonts w:ascii="Book Antiqua" w:hAnsi="Book Antiqua" w:cs="Book Antiqua"/>
          <w:b/>
          <w:bCs/>
          <w:color w:val="000000"/>
          <w:lang w:val="fr-BE"/>
        </w:rPr>
        <w:t>« dédoublement de l’option du plein exercice »</w:t>
      </w:r>
      <w:r>
        <w:rPr>
          <w:rFonts w:ascii="Book Antiqua" w:hAnsi="Book Antiqua" w:cs="Book Antiqua"/>
          <w:color w:val="000000"/>
          <w:lang w:val="fr-BE"/>
        </w:rPr>
        <w:t>.</w:t>
      </w:r>
    </w:p>
    <w:p>
      <w:pPr>
        <w:spacing w:after="240"/>
        <w:ind w:left="993"/>
        <w:jc w:val="both"/>
        <w:rPr>
          <w:rFonts w:ascii="Book Antiqua" w:hAnsi="Book Antiqua" w:cs="Book Antiqua"/>
          <w:color w:val="000000"/>
          <w:lang w:val="fr-BE"/>
        </w:rPr>
      </w:pPr>
      <w:r>
        <w:rPr>
          <w:rFonts w:ascii="Book Antiqua" w:hAnsi="Book Antiqua" w:cs="Book Antiqua"/>
          <w:color w:val="000000"/>
          <w:lang w:val="fr-BE"/>
        </w:rPr>
        <w:t>Tout établissement d’enseignement secondaire ordinaire de plein exercice, siège ou coopérant d’un CEFA, peut, dans le respect des modalités de prise de décision fixées par son pouvoir organisateur, organiser en alternance une option de base groupée qu’il organise déjà dans l’enseignement de plein exercice et qui atteint la norme de maintien.</w:t>
      </w:r>
    </w:p>
    <w:p>
      <w:pPr>
        <w:spacing w:after="120"/>
        <w:ind w:left="993"/>
        <w:jc w:val="both"/>
        <w:rPr>
          <w:rFonts w:ascii="Book Antiqua" w:hAnsi="Book Antiqua" w:cs="Book Antiqua"/>
          <w:color w:val="000000"/>
          <w:lang w:val="fr-BE"/>
        </w:rPr>
      </w:pPr>
      <w:r>
        <w:rPr>
          <w:rFonts w:ascii="Book Antiqua" w:hAnsi="Book Antiqua" w:cs="Book Antiqua"/>
          <w:color w:val="000000"/>
          <w:lang w:val="fr-BE"/>
        </w:rPr>
        <w:t xml:space="preserve">Les informations concernant le dédoublement sont communiquées via le Conseil de zone au Comité de concertation. </w:t>
      </w:r>
    </w:p>
    <w:p>
      <w:pPr>
        <w:spacing w:after="120"/>
        <w:ind w:left="993"/>
        <w:jc w:val="both"/>
        <w:rPr>
          <w:rFonts w:ascii="Book Antiqua" w:hAnsi="Book Antiqua" w:cs="Book Antiqua"/>
          <w:color w:val="000000"/>
          <w:lang w:val="fr-BE"/>
        </w:rPr>
      </w:pPr>
      <w:r>
        <w:rPr>
          <w:rFonts w:ascii="Book Antiqua" w:hAnsi="Book Antiqua" w:cs="Book Antiqua"/>
          <w:color w:val="000000"/>
          <w:lang w:val="fr-BE"/>
        </w:rPr>
        <w:t xml:space="preserve">Un seul dédoublement de l’option considérée peut être réalisé. Si l’établissement siège ou coopérant dédouble l’option en alternance, il lui est interdit de déléguer l’option organisée en alternance à un coopérant. </w:t>
      </w:r>
    </w:p>
    <w:tbl>
      <w:tblPr>
        <w:tblW w:w="9649" w:type="dxa"/>
        <w:tblInd w:w="70" w:type="dxa"/>
        <w:tblLayout w:type="fixed"/>
        <w:tblCellMar>
          <w:left w:w="70" w:type="dxa"/>
          <w:right w:w="70" w:type="dxa"/>
        </w:tblCellMar>
        <w:tblLook w:val="0000" w:firstRow="0" w:lastRow="0" w:firstColumn="0" w:lastColumn="0" w:noHBand="0" w:noVBand="0"/>
      </w:tblPr>
      <w:tblGrid>
        <w:gridCol w:w="2052"/>
        <w:gridCol w:w="2409"/>
        <w:gridCol w:w="1985"/>
        <w:gridCol w:w="1701"/>
        <w:gridCol w:w="1502"/>
      </w:tblGrid>
      <w:tr>
        <w:tc>
          <w:tcPr>
            <w:tcW w:w="2052" w:type="dxa"/>
            <w:tcBorders>
              <w:top w:val="single" w:sz="4" w:space="0" w:color="000000"/>
              <w:left w:val="single" w:sz="4" w:space="0" w:color="000000"/>
              <w:bottom w:val="single" w:sz="4" w:space="0" w:color="000000"/>
            </w:tcBorders>
          </w:tcPr>
          <w:p>
            <w:pPr>
              <w:snapToGrid w:val="0"/>
              <w:jc w:val="center"/>
              <w:rPr>
                <w:b/>
                <w:color w:val="000000"/>
                <w:sz w:val="16"/>
                <w:szCs w:val="16"/>
                <w:lang w:val="fr-BE"/>
              </w:rPr>
            </w:pPr>
            <w:r>
              <w:rPr>
                <w:color w:val="000000"/>
                <w:sz w:val="24"/>
                <w:lang w:val="fr-BE"/>
              </w:rPr>
              <w:t xml:space="preserve"> </w:t>
            </w:r>
            <w:r>
              <w:rPr>
                <w:b/>
                <w:color w:val="000000"/>
                <w:sz w:val="16"/>
                <w:szCs w:val="16"/>
                <w:lang w:val="fr-BE"/>
              </w:rPr>
              <w:t>Situation</w:t>
            </w:r>
          </w:p>
        </w:tc>
        <w:tc>
          <w:tcPr>
            <w:tcW w:w="2409" w:type="dxa"/>
            <w:tcBorders>
              <w:top w:val="single" w:sz="4" w:space="0" w:color="000000"/>
              <w:left w:val="single" w:sz="4" w:space="0" w:color="000000"/>
              <w:bottom w:val="single" w:sz="4" w:space="0" w:color="000000"/>
            </w:tcBorders>
          </w:tcPr>
          <w:p>
            <w:pPr>
              <w:snapToGrid w:val="0"/>
              <w:jc w:val="center"/>
              <w:rPr>
                <w:b/>
                <w:color w:val="000000"/>
                <w:sz w:val="16"/>
                <w:szCs w:val="16"/>
                <w:lang w:val="fr-BE"/>
              </w:rPr>
            </w:pPr>
            <w:r>
              <w:rPr>
                <w:b/>
                <w:color w:val="000000"/>
                <w:sz w:val="16"/>
                <w:szCs w:val="16"/>
                <w:lang w:val="fr-BE"/>
              </w:rPr>
              <w:t>Procédure à respecter</w:t>
            </w:r>
          </w:p>
        </w:tc>
        <w:tc>
          <w:tcPr>
            <w:tcW w:w="1985" w:type="dxa"/>
            <w:tcBorders>
              <w:top w:val="single" w:sz="4" w:space="0" w:color="000000"/>
              <w:left w:val="single" w:sz="4" w:space="0" w:color="000000"/>
              <w:bottom w:val="single" w:sz="4" w:space="0" w:color="000000"/>
            </w:tcBorders>
          </w:tcPr>
          <w:p>
            <w:pPr>
              <w:snapToGrid w:val="0"/>
              <w:jc w:val="center"/>
              <w:rPr>
                <w:b/>
                <w:color w:val="000000"/>
                <w:sz w:val="16"/>
                <w:szCs w:val="16"/>
                <w:lang w:val="fr-BE"/>
              </w:rPr>
            </w:pPr>
            <w:r>
              <w:rPr>
                <w:b/>
                <w:color w:val="000000"/>
                <w:sz w:val="16"/>
                <w:szCs w:val="16"/>
                <w:lang w:val="fr-BE"/>
              </w:rPr>
              <w:t>Condition à remplir</w:t>
            </w:r>
          </w:p>
        </w:tc>
        <w:tc>
          <w:tcPr>
            <w:tcW w:w="3203" w:type="dxa"/>
            <w:gridSpan w:val="2"/>
            <w:tcBorders>
              <w:top w:val="single" w:sz="4" w:space="0" w:color="000000"/>
              <w:left w:val="single" w:sz="4" w:space="0" w:color="000000"/>
              <w:bottom w:val="single" w:sz="4" w:space="0" w:color="000000"/>
              <w:right w:val="single" w:sz="4" w:space="0" w:color="000000"/>
            </w:tcBorders>
          </w:tcPr>
          <w:p>
            <w:pPr>
              <w:snapToGrid w:val="0"/>
              <w:jc w:val="center"/>
              <w:rPr>
                <w:b/>
                <w:color w:val="000000"/>
                <w:sz w:val="16"/>
                <w:szCs w:val="16"/>
                <w:lang w:val="fr-BE"/>
              </w:rPr>
            </w:pPr>
            <w:r>
              <w:rPr>
                <w:b/>
                <w:color w:val="000000"/>
                <w:sz w:val="16"/>
                <w:szCs w:val="16"/>
                <w:lang w:val="fr-BE"/>
              </w:rPr>
              <w:t>Remarque</w:t>
            </w:r>
          </w:p>
        </w:tc>
      </w:tr>
      <w:tr>
        <w:trPr>
          <w:trHeight w:val="274"/>
        </w:trPr>
        <w:tc>
          <w:tcPr>
            <w:tcW w:w="2052" w:type="dxa"/>
            <w:tcBorders>
              <w:top w:val="single" w:sz="4" w:space="0" w:color="000000"/>
              <w:left w:val="single" w:sz="4" w:space="0" w:color="000000"/>
              <w:bottom w:val="single" w:sz="4" w:space="0" w:color="000000"/>
            </w:tcBorders>
          </w:tcPr>
          <w:p>
            <w:pPr>
              <w:snapToGrid w:val="0"/>
              <w:spacing w:after="120"/>
              <w:rPr>
                <w:color w:val="000000"/>
                <w:sz w:val="18"/>
                <w:szCs w:val="18"/>
                <w:lang w:val="fr-BE"/>
              </w:rPr>
            </w:pPr>
            <w:r>
              <w:rPr>
                <w:color w:val="000000"/>
                <w:sz w:val="18"/>
                <w:szCs w:val="18"/>
                <w:u w:val="single"/>
                <w:lang w:val="fr-BE"/>
              </w:rPr>
              <w:t>Cas 1°</w:t>
            </w:r>
            <w:r>
              <w:rPr>
                <w:color w:val="000000"/>
                <w:sz w:val="18"/>
                <w:szCs w:val="18"/>
                <w:lang w:val="fr-BE"/>
              </w:rPr>
              <w:t xml:space="preserve"> : L’OBG du plein exercice atteint la norme de maintien au 15/01 de l’année scolaire précédente. </w:t>
            </w:r>
          </w:p>
          <w:p>
            <w:pPr>
              <w:spacing w:after="120"/>
              <w:rPr>
                <w:color w:val="000000"/>
                <w:sz w:val="18"/>
                <w:szCs w:val="18"/>
                <w:lang w:val="fr-BE"/>
              </w:rPr>
            </w:pPr>
            <w:r>
              <w:rPr>
                <w:color w:val="000000"/>
                <w:sz w:val="18"/>
                <w:szCs w:val="18"/>
                <w:u w:val="single"/>
                <w:lang w:val="fr-BE"/>
              </w:rPr>
              <w:t>Cas 2°</w:t>
            </w:r>
            <w:r>
              <w:rPr>
                <w:color w:val="000000"/>
                <w:sz w:val="18"/>
                <w:szCs w:val="18"/>
                <w:lang w:val="fr-BE"/>
              </w:rPr>
              <w:t> : L’OBG du plein exercice est en maintien1 au 15/01 de l’année scolaire précédente.</w:t>
            </w:r>
          </w:p>
          <w:p>
            <w:pPr>
              <w:pStyle w:val="Corpsdetexte"/>
              <w:spacing w:after="120"/>
              <w:jc w:val="left"/>
              <w:rPr>
                <w:color w:val="000000"/>
                <w:sz w:val="18"/>
                <w:szCs w:val="18"/>
              </w:rPr>
            </w:pPr>
            <w:r>
              <w:rPr>
                <w:color w:val="000000"/>
                <w:sz w:val="18"/>
                <w:szCs w:val="18"/>
                <w:u w:val="single"/>
              </w:rPr>
              <w:t>Cas 3°</w:t>
            </w:r>
            <w:r>
              <w:rPr>
                <w:color w:val="000000"/>
                <w:sz w:val="18"/>
                <w:szCs w:val="18"/>
              </w:rPr>
              <w:t xml:space="preserve"> : L’OBG du plein exercice est en maintien2 ou en dérogation </w:t>
            </w:r>
            <w:r>
              <w:rPr>
                <w:color w:val="000000"/>
                <w:sz w:val="18"/>
                <w:szCs w:val="18"/>
                <w:lang w:val="fr-BE"/>
              </w:rPr>
              <w:t>au 15/01 de l’année scolaire précédente sans avoir toutefois rattrapé la norme de maintien.</w:t>
            </w:r>
            <w:r>
              <w:rPr>
                <w:color w:val="000000"/>
                <w:sz w:val="18"/>
                <w:szCs w:val="18"/>
              </w:rPr>
              <w:t xml:space="preserve"> </w:t>
            </w:r>
          </w:p>
          <w:p>
            <w:pPr>
              <w:rPr>
                <w:color w:val="000000"/>
                <w:sz w:val="18"/>
                <w:szCs w:val="18"/>
                <w:lang w:val="fr-BE"/>
              </w:rPr>
            </w:pPr>
            <w:r>
              <w:rPr>
                <w:color w:val="000000"/>
                <w:sz w:val="18"/>
                <w:szCs w:val="18"/>
                <w:u w:val="single"/>
                <w:lang w:val="fr-BE"/>
              </w:rPr>
              <w:t>Cas 4°</w:t>
            </w:r>
            <w:r>
              <w:rPr>
                <w:color w:val="000000"/>
                <w:sz w:val="18"/>
                <w:szCs w:val="18"/>
                <w:lang w:val="fr-BE"/>
              </w:rPr>
              <w:t> : L’OBG du plein exercice est en suspension au 1</w:t>
            </w:r>
            <w:r>
              <w:rPr>
                <w:color w:val="000000"/>
                <w:sz w:val="18"/>
                <w:szCs w:val="18"/>
                <w:vertAlign w:val="superscript"/>
                <w:lang w:val="fr-BE"/>
              </w:rPr>
              <w:t>er</w:t>
            </w:r>
            <w:r>
              <w:rPr>
                <w:color w:val="000000"/>
                <w:sz w:val="18"/>
                <w:szCs w:val="18"/>
                <w:lang w:val="fr-BE"/>
              </w:rPr>
              <w:t xml:space="preserve"> septembre alors que la norme de maintien est atteinte au 15/01 précédent. </w:t>
            </w:r>
          </w:p>
        </w:tc>
        <w:tc>
          <w:tcPr>
            <w:tcW w:w="2409" w:type="dxa"/>
            <w:tcBorders>
              <w:top w:val="single" w:sz="4" w:space="0" w:color="000000"/>
              <w:left w:val="single" w:sz="4" w:space="0" w:color="000000"/>
              <w:bottom w:val="single" w:sz="4" w:space="0" w:color="000000"/>
            </w:tcBorders>
          </w:tcPr>
          <w:p>
            <w:pPr>
              <w:snapToGrid w:val="0"/>
              <w:spacing w:after="120"/>
              <w:rPr>
                <w:color w:val="000000"/>
                <w:sz w:val="18"/>
                <w:szCs w:val="18"/>
                <w:lang w:val="fr-BE"/>
              </w:rPr>
            </w:pPr>
            <w:r>
              <w:rPr>
                <w:color w:val="000000"/>
                <w:sz w:val="18"/>
                <w:szCs w:val="18"/>
                <w:u w:val="single"/>
                <w:lang w:val="fr-BE"/>
              </w:rPr>
              <w:t>Cas 1°et 4°</w:t>
            </w:r>
            <w:r>
              <w:rPr>
                <w:color w:val="000000"/>
                <w:sz w:val="18"/>
                <w:szCs w:val="18"/>
                <w:lang w:val="fr-BE"/>
              </w:rPr>
              <w:t> : Obtenir l’accord du Conseil de direction.</w:t>
            </w:r>
          </w:p>
          <w:p>
            <w:pPr>
              <w:tabs>
                <w:tab w:val="left" w:pos="1852"/>
              </w:tabs>
              <w:rPr>
                <w:color w:val="000000"/>
                <w:sz w:val="18"/>
                <w:szCs w:val="18"/>
                <w:lang w:val="fr-BE"/>
              </w:rPr>
            </w:pPr>
            <w:r>
              <w:rPr>
                <w:color w:val="000000"/>
                <w:sz w:val="18"/>
                <w:szCs w:val="18"/>
                <w:u w:val="single"/>
                <w:lang w:val="fr-BE"/>
              </w:rPr>
              <w:t>Cas 1°et 4°</w:t>
            </w:r>
            <w:r>
              <w:rPr>
                <w:color w:val="000000"/>
                <w:sz w:val="18"/>
                <w:szCs w:val="18"/>
                <w:lang w:val="fr-BE"/>
              </w:rPr>
              <w:t xml:space="preserve"> : </w:t>
            </w:r>
          </w:p>
          <w:p>
            <w:pPr>
              <w:tabs>
                <w:tab w:val="left" w:pos="1852"/>
              </w:tabs>
              <w:spacing w:after="120"/>
              <w:rPr>
                <w:color w:val="000000"/>
                <w:sz w:val="18"/>
                <w:szCs w:val="18"/>
                <w:lang w:val="fr-BE"/>
              </w:rPr>
            </w:pPr>
            <w:r>
              <w:rPr>
                <w:color w:val="000000"/>
                <w:sz w:val="18"/>
                <w:szCs w:val="18"/>
                <w:lang w:val="fr-BE"/>
              </w:rPr>
              <w:t>Donner l’information aux différents organes de concertations (Conseil de zone,  Comité de Concertation…).</w:t>
            </w:r>
          </w:p>
          <w:p>
            <w:pPr>
              <w:pStyle w:val="NormalWeb"/>
              <w:spacing w:before="0" w:after="0"/>
              <w:rPr>
                <w:color w:val="000000"/>
                <w:sz w:val="18"/>
                <w:szCs w:val="18"/>
                <w:lang w:val="fr-BE"/>
              </w:rPr>
            </w:pPr>
            <w:r>
              <w:rPr>
                <w:color w:val="000000"/>
                <w:sz w:val="18"/>
                <w:szCs w:val="18"/>
                <w:u w:val="single"/>
                <w:lang w:val="fr-BE"/>
              </w:rPr>
              <w:t>Cas 2 et 3 : Dédoublement impossible.</w:t>
            </w:r>
          </w:p>
        </w:tc>
        <w:tc>
          <w:tcPr>
            <w:tcW w:w="1985"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u w:val="single"/>
                <w:lang w:val="fr-BE"/>
              </w:rPr>
              <w:t>Cas 1° et 4°</w:t>
            </w:r>
            <w:r>
              <w:rPr>
                <w:color w:val="000000"/>
                <w:sz w:val="18"/>
                <w:szCs w:val="18"/>
                <w:lang w:val="fr-BE"/>
              </w:rPr>
              <w:t xml:space="preserve"> : </w:t>
            </w:r>
          </w:p>
          <w:p>
            <w:pPr>
              <w:spacing w:after="120"/>
              <w:rPr>
                <w:color w:val="000000"/>
                <w:sz w:val="18"/>
                <w:szCs w:val="18"/>
                <w:lang w:val="fr-BE"/>
              </w:rPr>
            </w:pPr>
            <w:r>
              <w:rPr>
                <w:color w:val="000000"/>
                <w:sz w:val="18"/>
                <w:szCs w:val="18"/>
                <w:lang w:val="fr-BE"/>
              </w:rPr>
              <w:t xml:space="preserve">Etre établissement secondaire ordinaire de plein exercice siège ou coopérant l’année scolaire du dédoublement de l’OBG et </w:t>
            </w:r>
            <w:r>
              <w:rPr>
                <w:b/>
                <w:color w:val="000000"/>
                <w:sz w:val="18"/>
                <w:szCs w:val="18"/>
                <w:lang w:val="fr-BE"/>
              </w:rPr>
              <w:t>l’OBG atteint la norme de maintien au 15/01 de l’année scolaire précédente.</w:t>
            </w:r>
          </w:p>
          <w:p>
            <w:pPr>
              <w:rPr>
                <w:color w:val="000000"/>
                <w:sz w:val="18"/>
                <w:szCs w:val="18"/>
                <w:lang w:val="fr-BE"/>
              </w:rPr>
            </w:pPr>
          </w:p>
        </w:tc>
        <w:tc>
          <w:tcPr>
            <w:tcW w:w="1701"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u w:val="single"/>
                <w:lang w:val="fr-BE"/>
              </w:rPr>
              <w:t>Cas 1° et 4°</w:t>
            </w:r>
            <w:r>
              <w:rPr>
                <w:color w:val="000000"/>
                <w:sz w:val="18"/>
                <w:szCs w:val="18"/>
                <w:lang w:val="fr-BE"/>
              </w:rPr>
              <w:t xml:space="preserve"> : </w:t>
            </w:r>
          </w:p>
          <w:p>
            <w:pPr>
              <w:spacing w:after="120"/>
              <w:rPr>
                <w:b/>
                <w:color w:val="000000"/>
                <w:sz w:val="18"/>
                <w:szCs w:val="18"/>
                <w:lang w:val="fr-BE"/>
              </w:rPr>
            </w:pPr>
            <w:r>
              <w:rPr>
                <w:color w:val="000000"/>
                <w:sz w:val="18"/>
                <w:szCs w:val="18"/>
                <w:lang w:val="fr-BE"/>
              </w:rPr>
              <w:t>Pour les années scolaires suivantes,</w:t>
            </w:r>
            <w:r>
              <w:rPr>
                <w:b/>
                <w:color w:val="000000"/>
                <w:sz w:val="18"/>
                <w:szCs w:val="18"/>
                <w:lang w:val="fr-BE"/>
              </w:rPr>
              <w:t xml:space="preserve"> </w:t>
            </w:r>
            <w:r>
              <w:rPr>
                <w:color w:val="000000"/>
                <w:sz w:val="18"/>
                <w:szCs w:val="18"/>
                <w:lang w:val="fr-BE"/>
              </w:rPr>
              <w:t>au 15/01 de chaque année, la population doit répondre aux normes de maintien de l’enseignement de plein exercice.</w:t>
            </w:r>
          </w:p>
          <w:p>
            <w:pPr>
              <w:pStyle w:val="NormalWeb"/>
              <w:spacing w:before="0" w:after="0"/>
              <w:rPr>
                <w:color w:val="000000"/>
                <w:sz w:val="18"/>
                <w:szCs w:val="18"/>
                <w:lang w:val="fr-BE"/>
              </w:rPr>
            </w:pPr>
          </w:p>
        </w:tc>
        <w:tc>
          <w:tcPr>
            <w:tcW w:w="1502" w:type="dxa"/>
            <w:tcBorders>
              <w:top w:val="single" w:sz="4" w:space="0" w:color="000000"/>
              <w:left w:val="single" w:sz="4" w:space="0" w:color="000000"/>
              <w:bottom w:val="single" w:sz="4" w:space="0" w:color="000000"/>
              <w:right w:val="single" w:sz="4" w:space="0" w:color="000000"/>
            </w:tcBorders>
          </w:tcPr>
          <w:p>
            <w:pPr>
              <w:snapToGrid w:val="0"/>
              <w:rPr>
                <w:color w:val="000000"/>
                <w:sz w:val="18"/>
                <w:szCs w:val="18"/>
                <w:u w:val="single"/>
                <w:lang w:val="fr-BE"/>
              </w:rPr>
            </w:pPr>
            <w:r>
              <w:rPr>
                <w:color w:val="000000"/>
                <w:sz w:val="18"/>
                <w:szCs w:val="18"/>
                <w:u w:val="single"/>
                <w:lang w:val="fr-BE"/>
              </w:rPr>
              <w:t>Cas 1°et 4° :</w:t>
            </w:r>
          </w:p>
          <w:p>
            <w:pPr>
              <w:rPr>
                <w:color w:val="000000"/>
                <w:sz w:val="18"/>
                <w:szCs w:val="18"/>
                <w:lang w:val="fr-BE"/>
              </w:rPr>
            </w:pPr>
            <w:r>
              <w:rPr>
                <w:color w:val="000000"/>
                <w:sz w:val="18"/>
                <w:szCs w:val="18"/>
                <w:lang w:val="fr-BE"/>
              </w:rPr>
              <w:t xml:space="preserve">Pour calculer la norme de l’OBG pour les années scolaires ultérieures, il faut comptabiliser les élèves du plein exercice </w:t>
            </w:r>
            <w:r>
              <w:rPr>
                <w:b/>
                <w:color w:val="000000"/>
                <w:sz w:val="18"/>
                <w:szCs w:val="18"/>
                <w:lang w:val="fr-BE"/>
              </w:rPr>
              <w:t>ET</w:t>
            </w:r>
            <w:r>
              <w:rPr>
                <w:color w:val="000000"/>
                <w:sz w:val="18"/>
                <w:szCs w:val="18"/>
                <w:lang w:val="fr-BE"/>
              </w:rPr>
              <w:t xml:space="preserve"> ceux de l’alternance.</w:t>
            </w:r>
          </w:p>
          <w:p>
            <w:pPr>
              <w:rPr>
                <w:color w:val="000000"/>
                <w:sz w:val="18"/>
                <w:szCs w:val="18"/>
                <w:lang w:val="fr-BE"/>
              </w:rPr>
            </w:pPr>
          </w:p>
          <w:p>
            <w:pPr>
              <w:rPr>
                <w:color w:val="000000"/>
                <w:sz w:val="18"/>
                <w:szCs w:val="18"/>
                <w:lang w:val="fr-BE"/>
              </w:rPr>
            </w:pPr>
          </w:p>
        </w:tc>
      </w:tr>
    </w:tbl>
    <w:p>
      <w:pPr>
        <w:pStyle w:val="niveau4"/>
        <w:rPr>
          <w:rFonts w:cs="Book Antiqua"/>
          <w:color w:val="000000"/>
        </w:rPr>
      </w:pPr>
      <w:bookmarkStart w:id="83" w:name="_Toc522700801"/>
      <w:r>
        <w:t>4. Délégation d’une option de base groupée qui sera organisée dans l’enseignement secondaire en alternance</w:t>
      </w:r>
      <w:r>
        <w:rPr>
          <w:u w:val="none"/>
        </w:rPr>
        <w:t xml:space="preserve"> </w:t>
      </w:r>
      <w:r>
        <w:rPr>
          <w:rStyle w:val="Caractresdenotedebasdepage"/>
          <w:color w:val="000000"/>
          <w:u w:val="none"/>
        </w:rPr>
        <w:footnoteReference w:id="176"/>
      </w:r>
      <w:bookmarkEnd w:id="83"/>
    </w:p>
    <w:p>
      <w:pPr>
        <w:tabs>
          <w:tab w:val="left" w:pos="426"/>
        </w:tabs>
        <w:spacing w:after="240"/>
        <w:ind w:left="993"/>
        <w:jc w:val="both"/>
        <w:rPr>
          <w:rFonts w:ascii="Book Antiqua" w:hAnsi="Book Antiqua" w:cs="Book Antiqua"/>
          <w:color w:val="000000"/>
          <w:lang w:val="fr-BE"/>
        </w:rPr>
      </w:pPr>
      <w:r>
        <w:rPr>
          <w:rFonts w:ascii="Book Antiqua" w:hAnsi="Book Antiqua" w:cs="Book Antiqua"/>
          <w:color w:val="000000"/>
          <w:lang w:val="fr-BE"/>
        </w:rPr>
        <w:t>Tout établissement d’enseignement secondaire ordinaire de plein exercice, siège ou coopérant d’un CEFA, peut, dans le respect des modalités de prise de décision fixées par son pouvoir organisateur, déléguer, à un établissement siège ou coopérant du même CEFA, l’organisation en alternance d’une option de base groupée qu’il organise déjà dans l’enseignement de plein exercice et qui atteint les normes de maintien.</w:t>
      </w:r>
    </w:p>
    <w:p>
      <w:pPr>
        <w:spacing w:after="240"/>
        <w:ind w:left="993"/>
        <w:jc w:val="both"/>
        <w:rPr>
          <w:rFonts w:ascii="Book Antiqua" w:hAnsi="Book Antiqua" w:cs="Book Antiqua"/>
          <w:color w:val="000000"/>
          <w:lang w:val="fr-BE"/>
        </w:rPr>
      </w:pPr>
      <w:r>
        <w:rPr>
          <w:rFonts w:ascii="Book Antiqua" w:hAnsi="Book Antiqua" w:cs="Book Antiqua"/>
          <w:color w:val="000000"/>
          <w:lang w:val="fr-BE"/>
        </w:rPr>
        <w:t xml:space="preserve">Les demandes d’autorisation sont renouvelables annuellement. </w:t>
      </w:r>
      <w:r>
        <w:rPr>
          <w:rFonts w:ascii="Book Antiqua" w:hAnsi="Book Antiqua" w:cs="Book Antiqua"/>
          <w:i/>
          <w:color w:val="000000"/>
          <w:lang w:val="fr-BE"/>
        </w:rPr>
        <w:t>Dans l’enseignement non confessionnel</w:t>
      </w:r>
      <w:r>
        <w:rPr>
          <w:rFonts w:ascii="Book Antiqua" w:hAnsi="Book Antiqua" w:cs="Book Antiqua"/>
          <w:color w:val="000000"/>
          <w:lang w:val="fr-BE"/>
        </w:rPr>
        <w:t>, pour l’année scolaire 2019-2020, elles seront adressées au Comité de concertation au plus tard le 1</w:t>
      </w:r>
      <w:r>
        <w:rPr>
          <w:rFonts w:ascii="Book Antiqua" w:hAnsi="Book Antiqua" w:cs="Book Antiqua"/>
          <w:color w:val="000000"/>
          <w:vertAlign w:val="superscript"/>
          <w:lang w:val="fr-BE"/>
        </w:rPr>
        <w:t>er</w:t>
      </w:r>
      <w:r>
        <w:rPr>
          <w:rFonts w:ascii="Book Antiqua" w:hAnsi="Book Antiqua" w:cs="Book Antiqua"/>
          <w:color w:val="000000"/>
          <w:lang w:val="fr-BE"/>
        </w:rPr>
        <w:t xml:space="preserve"> mars 2019.</w:t>
      </w:r>
    </w:p>
    <w:p>
      <w:pPr>
        <w:ind w:left="993"/>
        <w:jc w:val="both"/>
        <w:rPr>
          <w:color w:val="000000"/>
          <w:sz w:val="24"/>
          <w:lang w:val="fr-BE"/>
        </w:rPr>
      </w:pPr>
      <w:r>
        <w:rPr>
          <w:rFonts w:ascii="Book Antiqua" w:hAnsi="Book Antiqua" w:cs="Book Antiqua"/>
          <w:color w:val="000000"/>
          <w:lang w:val="fr-BE"/>
        </w:rPr>
        <w:lastRenderedPageBreak/>
        <w:t>Une seule délégation de l’option considérée peut être réalisée. Si l’établissement coopérant délègue à un établissement siège ou coopérant l’organisation de l’option de base groupée en alternance, il ne peut pas la dédoubler (plein exercice et alternance</w:t>
      </w:r>
      <w:r>
        <w:rPr>
          <w:color w:val="000000"/>
          <w:sz w:val="24"/>
          <w:lang w:val="fr-BE"/>
        </w:rPr>
        <w:t>).</w:t>
      </w:r>
    </w:p>
    <w:p>
      <w:pPr>
        <w:ind w:left="993"/>
        <w:jc w:val="both"/>
        <w:rPr>
          <w:color w:val="000000"/>
          <w:sz w:val="24"/>
          <w:lang w:val="fr-BE"/>
        </w:rPr>
      </w:pPr>
    </w:p>
    <w:p>
      <w:pPr>
        <w:pBdr>
          <w:top w:val="single" w:sz="4" w:space="1" w:color="auto"/>
          <w:left w:val="single" w:sz="4" w:space="4" w:color="auto"/>
          <w:bottom w:val="single" w:sz="4" w:space="1" w:color="auto"/>
          <w:right w:val="single" w:sz="4" w:space="4" w:color="auto"/>
        </w:pBdr>
        <w:spacing w:after="120"/>
        <w:jc w:val="both"/>
        <w:rPr>
          <w:color w:val="000000"/>
          <w:sz w:val="24"/>
          <w:lang w:val="fr-BE"/>
        </w:rPr>
      </w:pPr>
      <w:r>
        <w:rPr>
          <w:color w:val="000000"/>
          <w:sz w:val="24"/>
          <w:lang w:val="fr-BE"/>
        </w:rPr>
        <w:t>L’admission aux subventions d’une option de base groupée en alternance est automatiquement prise en considération pour l’établissement concerné en cas de dédoublement d’une OBG déjà organisée dans l’établissement de plein exercice ainsi qu’en cas de délégation d’une OBG</w:t>
      </w:r>
      <w:r>
        <w:rPr>
          <w:rStyle w:val="Appelnotedebasdep"/>
          <w:color w:val="000000"/>
          <w:sz w:val="24"/>
          <w:lang w:val="fr-BE"/>
        </w:rPr>
        <w:footnoteReference w:id="177"/>
      </w:r>
      <w:r>
        <w:rPr>
          <w:color w:val="000000"/>
          <w:sz w:val="24"/>
          <w:lang w:val="fr-BE"/>
        </w:rPr>
        <w:t>.</w:t>
      </w:r>
    </w:p>
    <w:p>
      <w:pPr>
        <w:pBdr>
          <w:top w:val="single" w:sz="4" w:space="1" w:color="auto"/>
          <w:left w:val="single" w:sz="4" w:space="4" w:color="auto"/>
          <w:bottom w:val="single" w:sz="4" w:space="1" w:color="auto"/>
          <w:right w:val="single" w:sz="4" w:space="4" w:color="auto"/>
        </w:pBdr>
        <w:spacing w:after="120"/>
        <w:jc w:val="both"/>
        <w:rPr>
          <w:color w:val="000000"/>
          <w:sz w:val="24"/>
          <w:lang w:val="fr-BE"/>
        </w:rPr>
      </w:pPr>
      <w:r>
        <w:rPr>
          <w:color w:val="000000"/>
          <w:sz w:val="24"/>
          <w:lang w:val="fr-BE"/>
        </w:rPr>
        <w:t xml:space="preserve">La demande d’admission aux subventions </w:t>
      </w:r>
      <w:r>
        <w:rPr>
          <w:rFonts w:ascii="CenturySchoolbook" w:eastAsiaTheme="minorHAnsi" w:hAnsi="CenturySchoolbook" w:cs="CenturySchoolbook"/>
          <w:sz w:val="24"/>
          <w:szCs w:val="24"/>
          <w:lang w:val="fr-BE" w:eastAsia="en-US"/>
        </w:rPr>
        <w:t xml:space="preserve">de nouvelles options de base groupées </w:t>
      </w:r>
      <w:r>
        <w:rPr>
          <w:color w:val="000000"/>
          <w:sz w:val="24"/>
          <w:lang w:val="fr-BE"/>
        </w:rPr>
        <w:t xml:space="preserve">ne fait plus l’objet de renvoi de documents à l’administration ; la demande d’admission aux subventions est implicite via le processus de demande de programmation dans l’application GOSS2 et est examinée </w:t>
      </w:r>
      <w:r>
        <w:rPr>
          <w:rFonts w:ascii="CenturySchoolbook" w:eastAsiaTheme="minorHAnsi" w:hAnsi="CenturySchoolbook" w:cs="CenturySchoolbook"/>
          <w:sz w:val="24"/>
          <w:szCs w:val="24"/>
          <w:lang w:val="fr-BE" w:eastAsia="en-US"/>
        </w:rPr>
        <w:t xml:space="preserve">automatiquement </w:t>
      </w:r>
      <w:r>
        <w:rPr>
          <w:color w:val="000000"/>
          <w:sz w:val="24"/>
          <w:lang w:val="fr-BE"/>
        </w:rPr>
        <w:t>par les Services du Gouvernement</w:t>
      </w:r>
      <w:r>
        <w:rPr>
          <w:rStyle w:val="Appelnotedebasdep"/>
          <w:color w:val="000000"/>
          <w:sz w:val="24"/>
          <w:lang w:val="fr-BE"/>
        </w:rPr>
        <w:footnoteReference w:id="178"/>
      </w:r>
      <w:r>
        <w:rPr>
          <w:color w:val="000000"/>
          <w:sz w:val="24"/>
          <w:lang w:val="fr-BE"/>
        </w:rPr>
        <w:t>.</w:t>
      </w:r>
    </w:p>
    <w:p>
      <w:pPr>
        <w:pageBreakBefore/>
        <w:jc w:val="both"/>
        <w:rPr>
          <w:color w:val="000000"/>
          <w:sz w:val="24"/>
          <w:lang w:val="fr-BE"/>
        </w:rPr>
      </w:pPr>
    </w:p>
    <w:tbl>
      <w:tblPr>
        <w:tblW w:w="10065" w:type="dxa"/>
        <w:tblInd w:w="-214" w:type="dxa"/>
        <w:tblLayout w:type="fixed"/>
        <w:tblCellMar>
          <w:left w:w="70" w:type="dxa"/>
          <w:right w:w="70" w:type="dxa"/>
        </w:tblCellMar>
        <w:tblLook w:val="0000" w:firstRow="0" w:lastRow="0" w:firstColumn="0" w:lastColumn="0" w:noHBand="0" w:noVBand="0"/>
      </w:tblPr>
      <w:tblGrid>
        <w:gridCol w:w="1844"/>
        <w:gridCol w:w="2268"/>
        <w:gridCol w:w="2154"/>
        <w:gridCol w:w="2155"/>
        <w:gridCol w:w="1644"/>
      </w:tblGrid>
      <w:tr>
        <w:tc>
          <w:tcPr>
            <w:tcW w:w="1844"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Situation</w:t>
            </w:r>
          </w:p>
        </w:tc>
        <w:tc>
          <w:tcPr>
            <w:tcW w:w="2268"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Procédure à respecter</w:t>
            </w:r>
          </w:p>
        </w:tc>
        <w:tc>
          <w:tcPr>
            <w:tcW w:w="2154"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Conditions à remplir</w:t>
            </w:r>
          </w:p>
        </w:tc>
        <w:tc>
          <w:tcPr>
            <w:tcW w:w="2155"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Remarques</w:t>
            </w:r>
          </w:p>
        </w:tc>
        <w:tc>
          <w:tcPr>
            <w:tcW w:w="1644"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Dossier à introduire</w:t>
            </w:r>
          </w:p>
        </w:tc>
      </w:tr>
      <w:tr>
        <w:tc>
          <w:tcPr>
            <w:tcW w:w="1844" w:type="dxa"/>
            <w:tcBorders>
              <w:top w:val="single" w:sz="4" w:space="0" w:color="000000"/>
              <w:left w:val="single" w:sz="4" w:space="0" w:color="000000"/>
              <w:bottom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Un établissement d’enseignement secondaire ordinaire de plein exercice de plein exercice veut « </w:t>
            </w:r>
            <w:r>
              <w:rPr>
                <w:rFonts w:ascii="Book Antiqua" w:hAnsi="Book Antiqua" w:cs="Book Antiqua"/>
                <w:b/>
                <w:color w:val="000000"/>
                <w:sz w:val="18"/>
                <w:szCs w:val="18"/>
                <w:u w:val="single"/>
                <w:lang w:val="fr-BE"/>
              </w:rPr>
              <w:t>déléguer</w:t>
            </w:r>
            <w:r>
              <w:rPr>
                <w:rFonts w:ascii="Book Antiqua" w:hAnsi="Book Antiqua" w:cs="Book Antiqua"/>
                <w:color w:val="000000"/>
                <w:sz w:val="18"/>
                <w:szCs w:val="18"/>
                <w:lang w:val="fr-BE"/>
              </w:rPr>
              <w:t xml:space="preserve"> », à un autre établissement coopérant du CEFA, l’organisation en alternance d’une de ses OBG non dédoublée du plein exercice. </w:t>
            </w:r>
          </w:p>
        </w:tc>
        <w:tc>
          <w:tcPr>
            <w:tcW w:w="2268" w:type="dxa"/>
            <w:tcBorders>
              <w:top w:val="single" w:sz="4" w:space="0" w:color="000000"/>
              <w:left w:val="single" w:sz="4" w:space="0" w:color="000000"/>
              <w:bottom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Demander :</w:t>
            </w:r>
          </w:p>
          <w:p>
            <w:pPr>
              <w:numPr>
                <w:ilvl w:val="0"/>
                <w:numId w:val="11"/>
              </w:num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l’accord du Conseil de direction</w:t>
            </w:r>
          </w:p>
          <w:p>
            <w:pPr>
              <w:numPr>
                <w:ilvl w:val="0"/>
                <w:numId w:val="11"/>
              </w:num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la déclaration de l’établissement scolaire de plein exercice qui atteste ne pas vouloir organiser l’OBG concernée en alternance.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Sur avis favorable du Comité de concertation, l’Administration valide la délégation de l’OBG en alternance pour l’année scolaire suivante.</w:t>
            </w:r>
          </w:p>
        </w:tc>
        <w:tc>
          <w:tcPr>
            <w:tcW w:w="2154" w:type="dxa"/>
            <w:tcBorders>
              <w:top w:val="single" w:sz="4" w:space="0" w:color="000000"/>
              <w:left w:val="single" w:sz="4" w:space="0" w:color="000000"/>
              <w:bottom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 xml:space="preserve">L’établissement qui reçoit la délégation doit effectivement être coopérant. </w:t>
            </w:r>
            <w:r>
              <w:rPr>
                <w:rStyle w:val="Caractresdenotedebasdepage"/>
                <w:rFonts w:ascii="Book Antiqua" w:hAnsi="Book Antiqua" w:cs="Book Antiqua"/>
                <w:color w:val="000000"/>
                <w:sz w:val="18"/>
                <w:szCs w:val="18"/>
                <w:lang w:val="fr-BE"/>
              </w:rPr>
              <w:footnoteReference w:id="179"/>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L’OBG concernée ne peut pas être déléguée si elle est en suspension ou en maintien 1 ou 2 dans l’établissement de plein exercice.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Si l’OBG concernée tombe sous la norme de maintien ou est suspendue dans l’établissement de plein exercice, la délégation est suspendue progressivement.</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 xml:space="preserve">Pour l’établissement coopérant, dans le respect des conditions précitées, aucune norme de création ou de maintien ne doit être atteinte pour l’option déléguée. </w:t>
            </w:r>
          </w:p>
          <w:p>
            <w:pPr>
              <w:spacing w:after="120"/>
              <w:rPr>
                <w:rFonts w:ascii="Book Antiqua" w:hAnsi="Book Antiqua" w:cs="Book Antiqua"/>
                <w:color w:val="000000"/>
                <w:sz w:val="18"/>
                <w:szCs w:val="18"/>
                <w:u w:val="single"/>
                <w:lang w:val="fr-BE"/>
              </w:rPr>
            </w:pPr>
            <w:r>
              <w:rPr>
                <w:rFonts w:ascii="Book Antiqua" w:hAnsi="Book Antiqua" w:cs="Book Antiqua"/>
                <w:color w:val="000000"/>
                <w:sz w:val="18"/>
                <w:szCs w:val="18"/>
                <w:u w:val="single"/>
                <w:lang w:val="fr-BE"/>
              </w:rPr>
              <w:t xml:space="preserve"> </w:t>
            </w:r>
          </w:p>
        </w:tc>
        <w:tc>
          <w:tcPr>
            <w:tcW w:w="2155" w:type="dxa"/>
            <w:tcBorders>
              <w:top w:val="single" w:sz="4" w:space="0" w:color="000000"/>
              <w:left w:val="single" w:sz="4" w:space="0" w:color="000000"/>
              <w:bottom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Durant le temps de la délégation, l’établissement de plein exercice ne peut pas organiser l’OBG en alternance.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La délégation relève d’un accord provisoire qui doit être renouvelé chaque année.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L’OBG déléguée de l’établissement de plein exercice reste dans le patrimoine de l’école.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L’OBG reçue en délégation par l’établissement n’appartient pas au patrimoine de l’école.</w:t>
            </w:r>
          </w:p>
        </w:tc>
        <w:tc>
          <w:tcPr>
            <w:tcW w:w="1644" w:type="dxa"/>
            <w:tcBorders>
              <w:top w:val="single" w:sz="4" w:space="0" w:color="000000"/>
              <w:left w:val="single" w:sz="4" w:space="0" w:color="000000"/>
              <w:bottom w:val="single" w:sz="4" w:space="0" w:color="000000"/>
              <w:right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Il n’est plus nécessaire d’introduire un dossier d’admission aux subventions auprès de l’Administration.</w:t>
            </w:r>
          </w:p>
          <w:p>
            <w:pPr>
              <w:spacing w:after="120"/>
              <w:rPr>
                <w:rFonts w:ascii="Book Antiqua" w:hAnsi="Book Antiqua" w:cs="Book Antiqua"/>
                <w:color w:val="000000"/>
                <w:sz w:val="18"/>
                <w:szCs w:val="18"/>
                <w:lang w:val="fr-BE"/>
              </w:rPr>
            </w:pPr>
          </w:p>
        </w:tc>
      </w:tr>
    </w:tbl>
    <w:p/>
    <w:p>
      <w:r>
        <w:t xml:space="preserve">Les Comités de concertation transmettront à l’Administration les demandes de délégation </w:t>
      </w:r>
      <w:r>
        <w:rPr>
          <w:b/>
          <w:u w:val="single"/>
        </w:rPr>
        <w:t>pour le 1</w:t>
      </w:r>
      <w:r>
        <w:rPr>
          <w:b/>
          <w:u w:val="single"/>
          <w:vertAlign w:val="superscript"/>
        </w:rPr>
        <w:t>er</w:t>
      </w:r>
      <w:r>
        <w:rPr>
          <w:b/>
          <w:u w:val="single"/>
        </w:rPr>
        <w:t xml:space="preserve"> septembre 2018 au plus tard</w:t>
      </w:r>
      <w:r>
        <w:t>, à l’adresse suivante :</w:t>
      </w:r>
    </w:p>
    <w:p/>
    <w:p>
      <w:pPr>
        <w:jc w:val="center"/>
        <w:rPr>
          <w:b/>
        </w:rPr>
      </w:pPr>
      <w:r>
        <w:rPr>
          <w:b/>
        </w:rPr>
        <w:t>Direction générale de l’Enseignement Obligatoire</w:t>
      </w:r>
    </w:p>
    <w:p>
      <w:pPr>
        <w:jc w:val="center"/>
        <w:rPr>
          <w:b/>
        </w:rPr>
      </w:pPr>
    </w:p>
    <w:p>
      <w:pPr>
        <w:jc w:val="center"/>
        <w:rPr>
          <w:b/>
        </w:rPr>
      </w:pPr>
      <w:r>
        <w:rPr>
          <w:b/>
        </w:rPr>
        <w:t>Bureau 1 F106</w:t>
      </w:r>
    </w:p>
    <w:p>
      <w:pPr>
        <w:jc w:val="center"/>
        <w:rPr>
          <w:b/>
        </w:rPr>
      </w:pPr>
    </w:p>
    <w:p>
      <w:pPr>
        <w:jc w:val="center"/>
        <w:rPr>
          <w:b/>
        </w:rPr>
      </w:pPr>
      <w:r>
        <w:rPr>
          <w:b/>
        </w:rPr>
        <w:t>Rue Adolphe Lavallée n°1</w:t>
      </w:r>
    </w:p>
    <w:p>
      <w:pPr>
        <w:jc w:val="center"/>
        <w:rPr>
          <w:b/>
        </w:rPr>
      </w:pPr>
      <w:r>
        <w:rPr>
          <w:b/>
        </w:rPr>
        <w:t>1080 BRUXELLES</w:t>
      </w:r>
    </w:p>
    <w:p>
      <w:pPr>
        <w:jc w:val="center"/>
        <w:rPr>
          <w:b/>
        </w:rPr>
      </w:pPr>
    </w:p>
    <w:p>
      <w:pPr>
        <w:pStyle w:val="niveau3"/>
        <w:pageBreakBefore/>
        <w:ind w:left="709"/>
        <w:rPr>
          <w:spacing w:val="-3"/>
          <w:sz w:val="28"/>
        </w:rPr>
      </w:pPr>
      <w:bookmarkStart w:id="84" w:name="_Toc522700802"/>
      <w:r>
        <w:rPr>
          <w:rStyle w:val="niveau3Car"/>
          <w:b/>
          <w:color w:val="000000"/>
        </w:rPr>
        <w:lastRenderedPageBreak/>
        <w:t xml:space="preserve">III. </w:t>
      </w:r>
      <w:r>
        <w:rPr>
          <w:rStyle w:val="niveau3Car"/>
          <w:b/>
          <w:color w:val="000000"/>
          <w:u w:val="single"/>
        </w:rPr>
        <w:t>NORMES DE CREATION</w:t>
      </w:r>
      <w:bookmarkEnd w:id="84"/>
      <w:r>
        <w:rPr>
          <w:spacing w:val="-3"/>
          <w:sz w:val="28"/>
        </w:rPr>
        <w:t xml:space="preserve"> </w:t>
      </w:r>
    </w:p>
    <w:p>
      <w:pPr>
        <w:tabs>
          <w:tab w:val="left" w:pos="1082"/>
          <w:tab w:val="left" w:pos="1315"/>
          <w:tab w:val="left" w:pos="1594"/>
          <w:tab w:val="left" w:pos="1752"/>
          <w:tab w:val="left" w:pos="1922"/>
          <w:tab w:val="left" w:pos="5335"/>
        </w:tabs>
        <w:spacing w:after="240"/>
        <w:ind w:left="993"/>
        <w:jc w:val="both"/>
        <w:rPr>
          <w:rFonts w:ascii="Book Antiqua" w:hAnsi="Book Antiqua" w:cs="Book Antiqua"/>
          <w:color w:val="000000"/>
          <w:spacing w:val="-2"/>
        </w:rPr>
      </w:pPr>
      <w:r>
        <w:rPr>
          <w:rFonts w:ascii="Book Antiqua" w:hAnsi="Book Antiqua" w:cs="Book Antiqua"/>
          <w:color w:val="000000"/>
          <w:spacing w:val="-2"/>
        </w:rPr>
        <w:t>Les normes de création doivent être atteintes au 1er octobre de l’année de la création pour les formations qui débutent au premier septembre</w:t>
      </w:r>
      <w:r>
        <w:rPr>
          <w:rStyle w:val="Caractresdenotedebasdepage"/>
          <w:rFonts w:ascii="Book Antiqua" w:hAnsi="Book Antiqua" w:cs="Book Antiqua"/>
          <w:color w:val="000000"/>
          <w:spacing w:val="-2"/>
        </w:rPr>
        <w:footnoteReference w:id="180"/>
      </w:r>
      <w:r>
        <w:rPr>
          <w:rFonts w:ascii="Book Antiqua" w:hAnsi="Book Antiqua" w:cs="Book Antiqua"/>
          <w:color w:val="000000"/>
          <w:spacing w:val="-2"/>
        </w:rPr>
        <w:t xml:space="preserve">. En ce qui concerne les options qui sont organisées selon d’autres modalités que celles du calendrier scolaire, la norme doit être atteinte à la date de création. Pour l’application des normes de création, un élève en alternance est pris en compte de manière égale à un élève du plein exercice. </w:t>
      </w:r>
      <w:r>
        <w:rPr>
          <w:rStyle w:val="Caractresdenotedebasdepage"/>
          <w:rFonts w:ascii="Book Antiqua" w:hAnsi="Book Antiqua" w:cs="Book Antiqua"/>
          <w:color w:val="000000"/>
          <w:spacing w:val="-2"/>
        </w:rPr>
        <w:footnoteReference w:id="181"/>
      </w:r>
    </w:p>
    <w:p>
      <w:pPr>
        <w:tabs>
          <w:tab w:val="left" w:pos="1082"/>
          <w:tab w:val="left" w:pos="1315"/>
          <w:tab w:val="left" w:pos="1594"/>
          <w:tab w:val="left" w:pos="1752"/>
          <w:tab w:val="left" w:pos="1922"/>
          <w:tab w:val="left" w:pos="5335"/>
        </w:tabs>
        <w:spacing w:after="240"/>
        <w:ind w:left="993"/>
        <w:jc w:val="both"/>
      </w:pPr>
      <w:r>
        <w:rPr>
          <w:rFonts w:ascii="Book Antiqua" w:hAnsi="Book Antiqua" w:cs="Book Antiqua"/>
          <w:color w:val="000000"/>
          <w:spacing w:val="-2"/>
        </w:rPr>
        <w:t xml:space="preserve">Là où elles existent, les activités au choix ne sont pas soumises aux normes de création. </w:t>
      </w:r>
      <w:r>
        <w:rPr>
          <w:rStyle w:val="Caractresdenotedebasdepage"/>
          <w:rFonts w:ascii="Book Antiqua" w:hAnsi="Book Antiqua" w:cs="Book Antiqua"/>
          <w:color w:val="000000"/>
          <w:spacing w:val="-2"/>
        </w:rPr>
        <w:footnoteReference w:id="182"/>
      </w:r>
    </w:p>
    <w:p>
      <w:pPr>
        <w:pStyle w:val="niveau4"/>
        <w:ind w:left="709"/>
      </w:pPr>
      <w:bookmarkStart w:id="85" w:name="_Toc522700803"/>
      <w:r>
        <w:t>1. Normes de création au 2</w:t>
      </w:r>
      <w:r>
        <w:rPr>
          <w:vertAlign w:val="superscript"/>
        </w:rPr>
        <w:t>ème</w:t>
      </w:r>
      <w:r>
        <w:t xml:space="preserve"> et au 3</w:t>
      </w:r>
      <w:r>
        <w:rPr>
          <w:vertAlign w:val="superscript"/>
        </w:rPr>
        <w:t>ème</w:t>
      </w:r>
      <w:r>
        <w:t xml:space="preserve"> degrés pour les options relevant de l’application de l’article 45 du décret « Missions »</w:t>
      </w:r>
      <w:bookmarkEnd w:id="85"/>
    </w:p>
    <w:p>
      <w:pPr>
        <w:tabs>
          <w:tab w:val="left" w:pos="1082"/>
          <w:tab w:val="left" w:pos="1315"/>
          <w:tab w:val="left" w:pos="1594"/>
          <w:tab w:val="left" w:pos="1752"/>
          <w:tab w:val="left" w:pos="1922"/>
          <w:tab w:val="left" w:pos="5335"/>
        </w:tabs>
        <w:spacing w:after="240"/>
        <w:ind w:left="993"/>
        <w:jc w:val="both"/>
        <w:rPr>
          <w:rFonts w:ascii="Book Antiqua" w:hAnsi="Book Antiqua" w:cs="Book Antiqua"/>
          <w:color w:val="000000"/>
          <w:spacing w:val="-2"/>
        </w:rPr>
      </w:pPr>
      <w:r>
        <w:rPr>
          <w:rFonts w:ascii="Book Antiqua" w:hAnsi="Book Antiqua" w:cs="Book Antiqua"/>
          <w:color w:val="000000"/>
          <w:spacing w:val="-2"/>
        </w:rPr>
        <w:t>Aucune norme n’est exigée.</w:t>
      </w:r>
    </w:p>
    <w:p>
      <w:pPr>
        <w:pStyle w:val="niveau4"/>
        <w:ind w:left="709"/>
        <w:rPr>
          <w:u w:val="none"/>
        </w:rPr>
      </w:pPr>
      <w:bookmarkStart w:id="86" w:name="_Toc522700804"/>
      <w:r>
        <w:t>2. Normes de création au 2</w:t>
      </w:r>
      <w:r>
        <w:rPr>
          <w:vertAlign w:val="superscript"/>
        </w:rPr>
        <w:t>ème</w:t>
      </w:r>
      <w:r>
        <w:t xml:space="preserve"> et au 3</w:t>
      </w:r>
      <w:r>
        <w:rPr>
          <w:vertAlign w:val="superscript"/>
        </w:rPr>
        <w:t>ème</w:t>
      </w:r>
      <w:r>
        <w:rPr>
          <w:spacing w:val="-4"/>
          <w:sz w:val="18"/>
          <w:szCs w:val="18"/>
        </w:rPr>
        <w:t xml:space="preserve"> </w:t>
      </w:r>
      <w:r>
        <w:t xml:space="preserve"> degrés pour les options relevant de l’application de l’article 49 du décret « Missions »</w:t>
      </w:r>
      <w:bookmarkEnd w:id="86"/>
      <w:r>
        <w:rPr>
          <w:u w:val="none"/>
        </w:rPr>
        <w:t xml:space="preserve"> </w:t>
      </w:r>
    </w:p>
    <w:p>
      <w:pPr>
        <w:ind w:left="709"/>
        <w:rPr>
          <w:rFonts w:ascii="Book Antiqua" w:hAnsi="Book Antiqua"/>
        </w:rPr>
      </w:pPr>
      <w:r>
        <w:rPr>
          <w:rFonts w:ascii="Book Antiqua" w:hAnsi="Book Antiqua"/>
        </w:rPr>
        <w:t>NB : BEFE = option appartenant à une thématique commune définie par un Bassin Enseignement qualifiant Formation Emploi</w:t>
      </w:r>
    </w:p>
    <w:p>
      <w:pPr>
        <w:rPr>
          <w:rFonts w:ascii="Book Antiqua" w:hAnsi="Book Antiqua"/>
        </w:rPr>
      </w:pPr>
    </w:p>
    <w:p>
      <w:pPr>
        <w:rPr>
          <w:rFonts w:ascii="Book Antiqua" w:hAnsi="Book Antiqua"/>
        </w:rPr>
      </w:pPr>
    </w:p>
    <w:p>
      <w:pPr>
        <w:pStyle w:val="Paragraphedeliste"/>
        <w:numPr>
          <w:ilvl w:val="0"/>
          <w:numId w:val="63"/>
        </w:numPr>
        <w:rPr>
          <w:bCs/>
        </w:rPr>
      </w:pPr>
      <w:bookmarkStart w:id="87" w:name="_Toc422999693"/>
      <w:bookmarkStart w:id="88" w:name="_Toc488148835"/>
      <w:r>
        <w:rPr>
          <w:rFonts w:ascii="Book Antiqua" w:hAnsi="Book Antiqua"/>
          <w:u w:val="single"/>
        </w:rPr>
        <w:t>Options organisées uniquement sous la forme de l’enseignement secondaire en alternance</w:t>
      </w:r>
      <w:r>
        <w:rPr>
          <w:rStyle w:val="Appelnotedebasdep"/>
        </w:rPr>
        <w:footnoteReference w:id="183"/>
      </w:r>
      <w:bookmarkEnd w:id="87"/>
      <w:bookmarkEnd w:id="88"/>
    </w:p>
    <w:p>
      <w:pPr>
        <w:pStyle w:val="niveau4"/>
        <w:tabs>
          <w:tab w:val="clear" w:pos="0"/>
        </w:tabs>
        <w:rPr>
          <w:spacing w:val="-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91"/>
        <w:gridCol w:w="2234"/>
      </w:tblGrid>
      <w:tr>
        <w:trPr>
          <w:trHeight w:val="452"/>
          <w:jc w:val="center"/>
        </w:trPr>
        <w:tc>
          <w:tcPr>
            <w:tcW w:w="6091" w:type="dxa"/>
            <w:tcBorders>
              <w:right w:val="triple" w:sz="4" w:space="0" w:color="auto"/>
            </w:tcBorders>
          </w:tcPr>
          <w:p>
            <w:pPr>
              <w:tabs>
                <w:tab w:val="left" w:pos="1922"/>
                <w:tab w:val="left" w:pos="5387"/>
              </w:tabs>
              <w:spacing w:before="120"/>
              <w:jc w:val="center"/>
              <w:rPr>
                <w:rFonts w:ascii="Book Antiqua" w:hAnsi="Book Antiqua"/>
                <w:b/>
                <w:spacing w:val="-2"/>
                <w:u w:val="single"/>
                <w:lang w:val="fr-BE"/>
              </w:rPr>
            </w:pPr>
            <w:r>
              <w:rPr>
                <w:rFonts w:ascii="Book Antiqua" w:hAnsi="Book Antiqua"/>
                <w:b/>
                <w:spacing w:val="-2"/>
                <w:lang w:val="fr-BE"/>
              </w:rPr>
              <w:t>2</w:t>
            </w:r>
            <w:r>
              <w:rPr>
                <w:rFonts w:ascii="Book Antiqua" w:hAnsi="Book Antiqua"/>
                <w:b/>
                <w:spacing w:val="-2"/>
                <w:vertAlign w:val="superscript"/>
                <w:lang w:val="fr-BE"/>
              </w:rPr>
              <w:t>ème</w:t>
            </w:r>
            <w:r>
              <w:rPr>
                <w:rFonts w:ascii="Book Antiqua" w:hAnsi="Book Antiqua"/>
                <w:b/>
                <w:spacing w:val="-2"/>
                <w:lang w:val="fr-BE"/>
              </w:rPr>
              <w:t xml:space="preserve"> DEGR</w:t>
            </w:r>
            <w:r>
              <w:rPr>
                <w:rFonts w:ascii="Book Antiqua" w:hAnsi="Book Antiqua"/>
                <w:b/>
                <w:caps/>
                <w:spacing w:val="-2"/>
                <w:lang w:val="fr-BE"/>
              </w:rPr>
              <w:t>é</w:t>
            </w:r>
          </w:p>
        </w:tc>
        <w:tc>
          <w:tcPr>
            <w:tcW w:w="2234" w:type="dxa"/>
            <w:tcBorders>
              <w:top w:val="triple" w:sz="4" w:space="0" w:color="auto"/>
              <w:left w:val="triple" w:sz="4" w:space="0" w:color="auto"/>
              <w:bottom w:val="triple" w:sz="4" w:space="0" w:color="auto"/>
              <w:right w:val="triple" w:sz="4" w:space="0" w:color="auto"/>
            </w:tcBorders>
          </w:tcPr>
          <w:p>
            <w:pPr>
              <w:tabs>
                <w:tab w:val="left" w:pos="1922"/>
                <w:tab w:val="left" w:pos="5387"/>
              </w:tabs>
              <w:spacing w:before="120" w:after="120"/>
              <w:jc w:val="center"/>
              <w:rPr>
                <w:rFonts w:ascii="Book Antiqua" w:hAnsi="Book Antiqua"/>
                <w:spacing w:val="-2"/>
                <w:lang w:val="fr-BE"/>
              </w:rPr>
            </w:pPr>
            <w:r>
              <w:rPr>
                <w:rFonts w:ascii="Book Antiqua" w:hAnsi="Book Antiqua"/>
                <w:spacing w:val="-2"/>
                <w:lang w:val="fr-BE"/>
              </w:rPr>
              <w:t>Normes</w:t>
            </w:r>
          </w:p>
        </w:tc>
      </w:tr>
      <w:tr>
        <w:trPr>
          <w:trHeight w:val="220"/>
          <w:jc w:val="center"/>
        </w:trPr>
        <w:tc>
          <w:tcPr>
            <w:tcW w:w="6091" w:type="dxa"/>
            <w:tcBorders>
              <w:right w:val="triple" w:sz="4" w:space="0" w:color="auto"/>
            </w:tcBorders>
          </w:tcPr>
          <w:p>
            <w:pPr>
              <w:tabs>
                <w:tab w:val="left" w:pos="1922"/>
                <w:tab w:val="left" w:pos="5387"/>
              </w:tabs>
              <w:jc w:val="both"/>
              <w:rPr>
                <w:rFonts w:ascii="Book Antiqua" w:hAnsi="Book Antiqua"/>
                <w:spacing w:val="-2"/>
                <w:u w:val="single"/>
                <w:lang w:val="fr-BE"/>
              </w:rPr>
            </w:pPr>
            <w:r>
              <w:rPr>
                <w:rFonts w:ascii="Book Antiqua" w:hAnsi="Book Antiqua"/>
                <w:spacing w:val="-2"/>
                <w:lang w:val="fr-BE"/>
              </w:rPr>
              <w:t xml:space="preserve">OBG organisée uniquement </w:t>
            </w:r>
            <w:r>
              <w:rPr>
                <w:rFonts w:ascii="Book Antiqua" w:hAnsi="Book Antiqua"/>
                <w:i/>
                <w:spacing w:val="-2"/>
                <w:lang w:val="fr-BE"/>
              </w:rPr>
              <w:t>en alternance</w:t>
            </w:r>
          </w:p>
        </w:tc>
        <w:tc>
          <w:tcPr>
            <w:tcW w:w="2234" w:type="dxa"/>
            <w:tcBorders>
              <w:top w:val="triple" w:sz="4" w:space="0" w:color="auto"/>
              <w:left w:val="triple" w:sz="4" w:space="0" w:color="auto"/>
              <w:right w:val="triple" w:sz="4" w:space="0" w:color="auto"/>
            </w:tcBorders>
          </w:tcPr>
          <w:p>
            <w:pPr>
              <w:tabs>
                <w:tab w:val="left" w:pos="1922"/>
                <w:tab w:val="left" w:pos="5387"/>
              </w:tabs>
              <w:jc w:val="center"/>
              <w:rPr>
                <w:rFonts w:ascii="Book Antiqua" w:hAnsi="Book Antiqua"/>
                <w:spacing w:val="-2"/>
                <w:lang w:val="fr-BE"/>
              </w:rPr>
            </w:pPr>
            <w:r>
              <w:rPr>
                <w:rFonts w:ascii="Book Antiqua" w:hAnsi="Book Antiqua"/>
                <w:b/>
                <w:spacing w:val="-2"/>
                <w:lang w:val="fr-BE"/>
              </w:rPr>
              <w:t>10</w:t>
            </w:r>
          </w:p>
        </w:tc>
      </w:tr>
      <w:tr>
        <w:trPr>
          <w:trHeight w:val="336"/>
          <w:jc w:val="center"/>
        </w:trPr>
        <w:tc>
          <w:tcPr>
            <w:tcW w:w="6091" w:type="dxa"/>
            <w:tcBorders>
              <w:right w:val="triple" w:sz="4" w:space="0" w:color="auto"/>
            </w:tcBorders>
          </w:tcPr>
          <w:p>
            <w:pPr>
              <w:tabs>
                <w:tab w:val="left" w:pos="1922"/>
                <w:tab w:val="left" w:pos="5387"/>
              </w:tabs>
              <w:spacing w:before="120"/>
              <w:jc w:val="center"/>
              <w:rPr>
                <w:rFonts w:ascii="Book Antiqua" w:hAnsi="Book Antiqua"/>
                <w:b/>
                <w:spacing w:val="-2"/>
                <w:u w:val="single"/>
                <w:lang w:val="fr-BE"/>
              </w:rPr>
            </w:pPr>
            <w:r>
              <w:rPr>
                <w:rFonts w:ascii="Book Antiqua" w:hAnsi="Book Antiqua"/>
                <w:b/>
                <w:spacing w:val="-2"/>
                <w:lang w:val="fr-BE"/>
              </w:rPr>
              <w:t>3</w:t>
            </w:r>
            <w:r>
              <w:rPr>
                <w:rFonts w:ascii="Book Antiqua" w:hAnsi="Book Antiqua"/>
                <w:b/>
                <w:spacing w:val="-2"/>
                <w:vertAlign w:val="superscript"/>
                <w:lang w:val="fr-BE"/>
              </w:rPr>
              <w:t>ème</w:t>
            </w:r>
            <w:r>
              <w:rPr>
                <w:rFonts w:ascii="Book Antiqua" w:hAnsi="Book Antiqua"/>
                <w:b/>
                <w:spacing w:val="-2"/>
                <w:lang w:val="fr-BE"/>
              </w:rPr>
              <w:t xml:space="preserve"> DEGR</w:t>
            </w:r>
            <w:r>
              <w:rPr>
                <w:rFonts w:ascii="Book Antiqua" w:hAnsi="Book Antiqua"/>
                <w:b/>
                <w:caps/>
                <w:spacing w:val="-2"/>
                <w:lang w:val="fr-BE"/>
              </w:rPr>
              <w:t>é</w:t>
            </w:r>
          </w:p>
        </w:tc>
        <w:tc>
          <w:tcPr>
            <w:tcW w:w="2234" w:type="dxa"/>
            <w:tcBorders>
              <w:left w:val="triple" w:sz="4" w:space="0" w:color="auto"/>
              <w:right w:val="triple" w:sz="4" w:space="0" w:color="auto"/>
            </w:tcBorders>
          </w:tcPr>
          <w:p>
            <w:pPr>
              <w:tabs>
                <w:tab w:val="left" w:pos="1922"/>
                <w:tab w:val="left" w:pos="5387"/>
              </w:tabs>
              <w:jc w:val="center"/>
              <w:rPr>
                <w:rFonts w:ascii="Book Antiqua" w:hAnsi="Book Antiqua"/>
                <w:spacing w:val="-2"/>
                <w:lang w:val="fr-BE"/>
              </w:rPr>
            </w:pPr>
          </w:p>
        </w:tc>
      </w:tr>
      <w:tr>
        <w:trPr>
          <w:trHeight w:val="1191"/>
          <w:jc w:val="center"/>
        </w:trPr>
        <w:tc>
          <w:tcPr>
            <w:tcW w:w="6091" w:type="dxa"/>
            <w:tcBorders>
              <w:right w:val="triple" w:sz="4" w:space="0" w:color="auto"/>
            </w:tcBorders>
          </w:tcPr>
          <w:p>
            <w:pPr>
              <w:tabs>
                <w:tab w:val="left" w:pos="1922"/>
                <w:tab w:val="left" w:pos="5670"/>
              </w:tabs>
              <w:jc w:val="both"/>
              <w:rPr>
                <w:rFonts w:ascii="Book Antiqua" w:hAnsi="Book Antiqua"/>
                <w:spacing w:val="-2"/>
                <w:lang w:val="fr-BE"/>
              </w:rPr>
            </w:pPr>
            <w:r>
              <w:rPr>
                <w:rFonts w:ascii="Book Antiqua" w:hAnsi="Book Antiqua"/>
                <w:spacing w:val="-2"/>
                <w:lang w:val="fr-BE"/>
              </w:rPr>
              <w:t xml:space="preserve">OBG organisée uniquement </w:t>
            </w:r>
            <w:r>
              <w:rPr>
                <w:rFonts w:ascii="Book Antiqua" w:hAnsi="Book Antiqua"/>
                <w:i/>
                <w:spacing w:val="-2"/>
                <w:lang w:val="fr-BE"/>
              </w:rPr>
              <w:t>en alternance</w:t>
            </w:r>
          </w:p>
          <w:p>
            <w:pPr>
              <w:tabs>
                <w:tab w:val="left" w:pos="1922"/>
                <w:tab w:val="left" w:pos="5670"/>
              </w:tabs>
              <w:rPr>
                <w:rFonts w:ascii="Book Antiqua" w:hAnsi="Book Antiqua"/>
                <w:spacing w:val="-2"/>
                <w:vertAlign w:val="superscript"/>
                <w:lang w:val="fr-BE"/>
              </w:rPr>
            </w:pPr>
            <w:r>
              <w:rPr>
                <w:rFonts w:ascii="Book Antiqua" w:hAnsi="Book Antiqua"/>
                <w:spacing w:val="-2"/>
                <w:lang w:val="fr-BE"/>
              </w:rPr>
              <w:t xml:space="preserve">    </w:t>
            </w:r>
          </w:p>
          <w:p>
            <w:pPr>
              <w:tabs>
                <w:tab w:val="left" w:pos="1922"/>
                <w:tab w:val="left" w:pos="5670"/>
              </w:tabs>
              <w:jc w:val="right"/>
              <w:rPr>
                <w:rFonts w:ascii="Book Antiqua" w:hAnsi="Book Antiqua"/>
                <w:spacing w:val="-2"/>
                <w:shd w:val="clear" w:color="auto" w:fill="E6E6E6"/>
                <w:lang w:val="fr-BE"/>
              </w:rPr>
            </w:pPr>
            <w:r>
              <w:rPr>
                <w:rFonts w:ascii="Book Antiqua" w:hAnsi="Book Antiqua"/>
                <w:spacing w:val="-2"/>
                <w:shd w:val="clear" w:color="auto" w:fill="E6E6E6"/>
                <w:lang w:val="fr-BE"/>
              </w:rPr>
              <w:t>si relève des thématiques communes BEFE</w:t>
            </w:r>
          </w:p>
          <w:p>
            <w:pPr>
              <w:tabs>
                <w:tab w:val="left" w:pos="1922"/>
                <w:tab w:val="left" w:pos="5670"/>
              </w:tabs>
              <w:jc w:val="right"/>
              <w:rPr>
                <w:rFonts w:ascii="Book Antiqua" w:hAnsi="Book Antiqua"/>
                <w:spacing w:val="-2"/>
                <w:shd w:val="clear" w:color="auto" w:fill="E6E6E6"/>
                <w:lang w:val="fr-BE"/>
              </w:rPr>
            </w:pPr>
          </w:p>
          <w:p>
            <w:pPr>
              <w:tabs>
                <w:tab w:val="left" w:pos="1922"/>
                <w:tab w:val="left" w:pos="5670"/>
              </w:tabs>
              <w:jc w:val="right"/>
              <w:rPr>
                <w:rFonts w:ascii="Book Antiqua" w:hAnsi="Book Antiqua"/>
                <w:spacing w:val="-2"/>
                <w:lang w:val="fr-BE"/>
              </w:rPr>
            </w:pPr>
          </w:p>
        </w:tc>
        <w:tc>
          <w:tcPr>
            <w:tcW w:w="2234" w:type="dxa"/>
            <w:tcBorders>
              <w:left w:val="triple" w:sz="4" w:space="0" w:color="auto"/>
              <w:right w:val="triple" w:sz="4" w:space="0" w:color="auto"/>
            </w:tcBorders>
          </w:tcPr>
          <w:p>
            <w:pPr>
              <w:tabs>
                <w:tab w:val="left" w:pos="1922"/>
                <w:tab w:val="left" w:pos="5387"/>
              </w:tabs>
              <w:jc w:val="center"/>
              <w:rPr>
                <w:rFonts w:ascii="Book Antiqua" w:hAnsi="Book Antiqua"/>
                <w:b/>
                <w:spacing w:val="-2"/>
                <w:lang w:val="fr-BE"/>
              </w:rPr>
            </w:pPr>
            <w:r>
              <w:rPr>
                <w:rFonts w:ascii="Book Antiqua" w:hAnsi="Book Antiqua"/>
                <w:b/>
                <w:spacing w:val="-2"/>
                <w:lang w:val="fr-BE"/>
              </w:rPr>
              <w:t>6</w:t>
            </w:r>
          </w:p>
          <w:p>
            <w:pPr>
              <w:tabs>
                <w:tab w:val="left" w:pos="1922"/>
                <w:tab w:val="left" w:pos="5387"/>
              </w:tabs>
              <w:jc w:val="center"/>
              <w:rPr>
                <w:rFonts w:ascii="Book Antiqua" w:hAnsi="Book Antiqua"/>
                <w:b/>
                <w:spacing w:val="-2"/>
                <w:shd w:val="clear" w:color="auto" w:fill="E6E6E6"/>
                <w:lang w:val="fr-BE"/>
              </w:rPr>
            </w:pPr>
          </w:p>
          <w:p>
            <w:pPr>
              <w:tabs>
                <w:tab w:val="left" w:pos="1922"/>
                <w:tab w:val="left" w:pos="5387"/>
              </w:tabs>
              <w:jc w:val="center"/>
              <w:rPr>
                <w:rFonts w:ascii="Book Antiqua" w:hAnsi="Book Antiqua"/>
                <w:b/>
                <w:spacing w:val="-2"/>
                <w:lang w:val="fr-BE"/>
              </w:rPr>
            </w:pPr>
            <w:r>
              <w:rPr>
                <w:rFonts w:ascii="Book Antiqua" w:hAnsi="Book Antiqua"/>
                <w:b/>
                <w:spacing w:val="-2"/>
                <w:shd w:val="clear" w:color="auto" w:fill="E6E6E6"/>
                <w:lang w:val="fr-BE"/>
              </w:rPr>
              <w:t>5</w:t>
            </w:r>
          </w:p>
        </w:tc>
      </w:tr>
      <w:tr>
        <w:trPr>
          <w:trHeight w:val="920"/>
          <w:jc w:val="center"/>
        </w:trPr>
        <w:tc>
          <w:tcPr>
            <w:tcW w:w="6091" w:type="dxa"/>
            <w:tcBorders>
              <w:right w:val="triple" w:sz="4" w:space="0" w:color="auto"/>
            </w:tcBorders>
          </w:tcPr>
          <w:p>
            <w:pPr>
              <w:tabs>
                <w:tab w:val="left" w:pos="1922"/>
                <w:tab w:val="left" w:pos="5670"/>
              </w:tabs>
              <w:jc w:val="both"/>
              <w:rPr>
                <w:rFonts w:ascii="Book Antiqua" w:hAnsi="Book Antiqua"/>
                <w:spacing w:val="-2"/>
                <w:lang w:val="fr-BE"/>
              </w:rPr>
            </w:pPr>
            <w:r>
              <w:rPr>
                <w:rFonts w:ascii="Book Antiqua" w:hAnsi="Book Antiqua"/>
                <w:spacing w:val="-2"/>
                <w:lang w:val="fr-BE"/>
              </w:rPr>
              <w:t>7</w:t>
            </w:r>
            <w:r>
              <w:rPr>
                <w:rFonts w:ascii="Book Antiqua" w:hAnsi="Book Antiqua"/>
                <w:spacing w:val="-2"/>
                <w:vertAlign w:val="superscript"/>
                <w:lang w:val="fr-BE"/>
              </w:rPr>
              <w:t>ème</w:t>
            </w:r>
            <w:r>
              <w:rPr>
                <w:rFonts w:ascii="Book Antiqua" w:hAnsi="Book Antiqua"/>
                <w:spacing w:val="-2"/>
                <w:lang w:val="fr-BE"/>
              </w:rPr>
              <w:t xml:space="preserve"> Technique ou 7</w:t>
            </w:r>
            <w:r>
              <w:rPr>
                <w:rFonts w:ascii="Book Antiqua" w:hAnsi="Book Antiqua"/>
                <w:spacing w:val="-2"/>
                <w:vertAlign w:val="superscript"/>
                <w:lang w:val="fr-BE"/>
              </w:rPr>
              <w:t>e</w:t>
            </w:r>
            <w:r>
              <w:rPr>
                <w:rFonts w:ascii="Book Antiqua" w:hAnsi="Book Antiqua"/>
                <w:spacing w:val="-2"/>
                <w:lang w:val="fr-BE"/>
              </w:rPr>
              <w:t xml:space="preserve"> P de type B</w:t>
            </w:r>
          </w:p>
          <w:p>
            <w:pPr>
              <w:tabs>
                <w:tab w:val="left" w:pos="1922"/>
                <w:tab w:val="left" w:pos="5670"/>
              </w:tabs>
              <w:jc w:val="both"/>
              <w:rPr>
                <w:rFonts w:ascii="Book Antiqua" w:hAnsi="Book Antiqua"/>
                <w:spacing w:val="-2"/>
                <w:lang w:val="fr-BE"/>
              </w:rPr>
            </w:pPr>
            <w:r>
              <w:rPr>
                <w:rFonts w:ascii="Book Antiqua" w:hAnsi="Book Antiqua"/>
                <w:spacing w:val="-2"/>
                <w:lang w:val="fr-BE"/>
              </w:rPr>
              <w:t xml:space="preserve">OBG organisée uniquement </w:t>
            </w:r>
            <w:r>
              <w:rPr>
                <w:rFonts w:ascii="Book Antiqua" w:hAnsi="Book Antiqua"/>
                <w:i/>
                <w:spacing w:val="-2"/>
                <w:lang w:val="fr-BE"/>
              </w:rPr>
              <w:t>en alternance</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1/3 des cours</w:t>
            </w:r>
          </w:p>
          <w:p>
            <w:pPr>
              <w:tabs>
                <w:tab w:val="left" w:pos="1922"/>
                <w:tab w:val="left" w:pos="5670"/>
              </w:tabs>
              <w:jc w:val="right"/>
              <w:rPr>
                <w:spacing w:val="-2"/>
                <w:sz w:val="24"/>
                <w:szCs w:val="24"/>
                <w:lang w:val="fr-BE"/>
              </w:rPr>
            </w:pPr>
            <w:r>
              <w:rPr>
                <w:rFonts w:ascii="Book Antiqua" w:hAnsi="Book Antiqua"/>
                <w:spacing w:val="-2"/>
                <w:lang w:val="fr-BE"/>
              </w:rPr>
              <w:t>si groupement de tous les cours</w:t>
            </w:r>
          </w:p>
        </w:tc>
        <w:tc>
          <w:tcPr>
            <w:tcW w:w="2234" w:type="dxa"/>
            <w:tcBorders>
              <w:left w:val="triple" w:sz="4" w:space="0" w:color="auto"/>
              <w:bottom w:val="triple" w:sz="4" w:space="0" w:color="auto"/>
              <w:right w:val="triple" w:sz="4" w:space="0" w:color="auto"/>
            </w:tcBorders>
          </w:tcPr>
          <w:p>
            <w:pPr>
              <w:tabs>
                <w:tab w:val="left" w:pos="1922"/>
                <w:tab w:val="left" w:pos="5387"/>
              </w:tabs>
              <w:jc w:val="center"/>
              <w:rPr>
                <w:rFonts w:ascii="Book Antiqua" w:hAnsi="Book Antiqua"/>
                <w:b/>
                <w:spacing w:val="-2"/>
                <w:lang w:val="fr-BE"/>
              </w:rPr>
            </w:pPr>
          </w:p>
          <w:p>
            <w:pPr>
              <w:tabs>
                <w:tab w:val="left" w:pos="1922"/>
                <w:tab w:val="left" w:pos="5387"/>
              </w:tabs>
              <w:jc w:val="center"/>
              <w:rPr>
                <w:rFonts w:ascii="Book Antiqua" w:hAnsi="Book Antiqua"/>
                <w:b/>
                <w:spacing w:val="-2"/>
                <w:lang w:val="fr-BE"/>
              </w:rPr>
            </w:pPr>
            <w:r>
              <w:rPr>
                <w:rFonts w:ascii="Book Antiqua" w:hAnsi="Book Antiqua"/>
                <w:b/>
                <w:spacing w:val="-2"/>
                <w:lang w:val="fr-BE"/>
              </w:rPr>
              <w:t>5</w:t>
            </w:r>
          </w:p>
          <w:p>
            <w:pPr>
              <w:tabs>
                <w:tab w:val="left" w:pos="1922"/>
                <w:tab w:val="left" w:pos="5387"/>
              </w:tabs>
              <w:jc w:val="center"/>
              <w:rPr>
                <w:rFonts w:ascii="Book Antiqua" w:hAnsi="Book Antiqua"/>
                <w:b/>
                <w:spacing w:val="-2"/>
                <w:lang w:val="fr-BE"/>
              </w:rPr>
            </w:pPr>
            <w:r>
              <w:rPr>
                <w:rFonts w:ascii="Book Antiqua" w:hAnsi="Book Antiqua"/>
                <w:b/>
                <w:spacing w:val="-2"/>
                <w:lang w:val="fr-BE"/>
              </w:rPr>
              <w:t>3</w:t>
            </w:r>
          </w:p>
          <w:p>
            <w:pPr>
              <w:tabs>
                <w:tab w:val="left" w:pos="1922"/>
                <w:tab w:val="left" w:pos="5387"/>
              </w:tabs>
              <w:jc w:val="center"/>
              <w:rPr>
                <w:b/>
                <w:spacing w:val="-2"/>
                <w:sz w:val="24"/>
                <w:szCs w:val="24"/>
                <w:lang w:val="fr-BE"/>
              </w:rPr>
            </w:pPr>
            <w:r>
              <w:rPr>
                <w:rFonts w:ascii="Book Antiqua" w:hAnsi="Book Antiqua"/>
                <w:b/>
                <w:spacing w:val="-2"/>
                <w:lang w:val="fr-BE"/>
              </w:rPr>
              <w:t>1</w:t>
            </w:r>
          </w:p>
        </w:tc>
      </w:tr>
    </w:tbl>
    <w:p>
      <w:pPr>
        <w:pStyle w:val="Textebrut1"/>
        <w:widowControl/>
        <w:ind w:left="0" w:firstLine="0"/>
        <w:rPr>
          <w:rFonts w:ascii="Book Antiqua" w:hAnsi="Book Antiqua" w:cs="Book Antiqua"/>
          <w:color w:val="000000"/>
          <w:lang w:val="fr-FR"/>
        </w:rPr>
      </w:pPr>
    </w:p>
    <w:p>
      <w:pPr>
        <w:tabs>
          <w:tab w:val="left" w:pos="1315"/>
          <w:tab w:val="left" w:pos="1594"/>
          <w:tab w:val="left" w:pos="1752"/>
          <w:tab w:val="left" w:pos="1922"/>
          <w:tab w:val="left" w:pos="5335"/>
        </w:tabs>
        <w:spacing w:after="240"/>
        <w:ind w:left="1985" w:hanging="284"/>
        <w:jc w:val="both"/>
        <w:rPr>
          <w:rFonts w:ascii="Book Antiqua" w:hAnsi="Book Antiqua" w:cs="Book Antiqua"/>
          <w:color w:val="000000"/>
        </w:rPr>
      </w:pPr>
    </w:p>
    <w:p>
      <w:pPr>
        <w:tabs>
          <w:tab w:val="left" w:pos="1315"/>
          <w:tab w:val="left" w:pos="1594"/>
          <w:tab w:val="left" w:pos="1752"/>
          <w:tab w:val="left" w:pos="1922"/>
          <w:tab w:val="left" w:pos="5335"/>
        </w:tabs>
        <w:spacing w:after="240"/>
        <w:ind w:left="1985" w:hanging="284"/>
        <w:jc w:val="both"/>
        <w:rPr>
          <w:rFonts w:ascii="Book Antiqua" w:hAnsi="Book Antiqua" w:cs="Book Antiqua"/>
          <w:color w:val="000000"/>
        </w:rPr>
      </w:pPr>
    </w:p>
    <w:p>
      <w:pPr>
        <w:tabs>
          <w:tab w:val="left" w:pos="1315"/>
          <w:tab w:val="left" w:pos="1594"/>
          <w:tab w:val="left" w:pos="1752"/>
          <w:tab w:val="left" w:pos="1922"/>
          <w:tab w:val="left" w:pos="5335"/>
        </w:tabs>
        <w:spacing w:after="240"/>
        <w:ind w:left="1985" w:hanging="284"/>
        <w:jc w:val="both"/>
        <w:rPr>
          <w:rFonts w:ascii="Book Antiqua" w:hAnsi="Book Antiqua" w:cs="Book Antiqua"/>
          <w:color w:val="000000"/>
        </w:rPr>
      </w:pPr>
    </w:p>
    <w:p>
      <w:pPr>
        <w:tabs>
          <w:tab w:val="left" w:pos="1922"/>
          <w:tab w:val="left" w:pos="5387"/>
        </w:tabs>
        <w:spacing w:after="240"/>
        <w:ind w:left="1069"/>
        <w:jc w:val="both"/>
        <w:rPr>
          <w:rFonts w:ascii="Book Antiqua" w:hAnsi="Book Antiqua" w:cs="Book Antiqua"/>
          <w:color w:val="000000"/>
          <w:spacing w:val="-2"/>
        </w:rPr>
      </w:pPr>
      <w:r>
        <w:rPr>
          <w:rFonts w:ascii="Book Antiqua" w:hAnsi="Book Antiqua" w:cs="Book Antiqua"/>
          <w:color w:val="000000"/>
          <w:spacing w:val="-2"/>
        </w:rPr>
        <w:lastRenderedPageBreak/>
        <w:t xml:space="preserve">B) </w:t>
      </w:r>
      <w:r>
        <w:rPr>
          <w:rFonts w:ascii="Book Antiqua" w:hAnsi="Book Antiqua"/>
          <w:u w:val="single"/>
        </w:rPr>
        <w:t>Options organisées simultanément sous la forme de l’enseignement secondaire en alternance et en plein exercice</w:t>
      </w:r>
      <w:r>
        <w:rPr>
          <w:rStyle w:val="Appelnotedebasdep"/>
          <w:rFonts w:ascii="Book Antiqua" w:hAnsi="Book Antiqua"/>
          <w:u w:val="single"/>
        </w:rPr>
        <w:footnoteReference w:id="184"/>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4"/>
        <w:gridCol w:w="3299"/>
      </w:tblGrid>
      <w:tr>
        <w:trPr>
          <w:trHeight w:val="469"/>
          <w:jc w:val="center"/>
        </w:trPr>
        <w:tc>
          <w:tcPr>
            <w:tcW w:w="5674" w:type="dxa"/>
            <w:tcBorders>
              <w:right w:val="triple" w:sz="4" w:space="0" w:color="auto"/>
            </w:tcBorders>
          </w:tcPr>
          <w:p>
            <w:pPr>
              <w:tabs>
                <w:tab w:val="left" w:pos="1922"/>
                <w:tab w:val="left" w:pos="5387"/>
              </w:tabs>
              <w:spacing w:before="120"/>
              <w:jc w:val="center"/>
              <w:rPr>
                <w:rFonts w:ascii="Book Antiqua" w:hAnsi="Book Antiqua"/>
                <w:b/>
                <w:spacing w:val="-2"/>
                <w:u w:val="single"/>
                <w:lang w:val="fr-BE"/>
              </w:rPr>
            </w:pPr>
            <w:r>
              <w:rPr>
                <w:rFonts w:ascii="Book Antiqua" w:hAnsi="Book Antiqua"/>
                <w:b/>
                <w:spacing w:val="-2"/>
                <w:lang w:val="fr-BE"/>
              </w:rPr>
              <w:t>2</w:t>
            </w:r>
            <w:r>
              <w:rPr>
                <w:rFonts w:ascii="Book Antiqua" w:hAnsi="Book Antiqua"/>
                <w:b/>
                <w:spacing w:val="-2"/>
                <w:vertAlign w:val="superscript"/>
                <w:lang w:val="fr-BE"/>
              </w:rPr>
              <w:t>ème</w:t>
            </w:r>
            <w:r>
              <w:rPr>
                <w:rFonts w:ascii="Book Antiqua" w:hAnsi="Book Antiqua"/>
                <w:b/>
                <w:spacing w:val="-2"/>
                <w:lang w:val="fr-BE"/>
              </w:rPr>
              <w:t xml:space="preserve"> DEGR</w:t>
            </w:r>
            <w:r>
              <w:rPr>
                <w:rFonts w:ascii="Book Antiqua" w:hAnsi="Book Antiqua"/>
                <w:b/>
                <w:caps/>
                <w:spacing w:val="-2"/>
                <w:lang w:val="fr-BE"/>
              </w:rPr>
              <w:t>é</w:t>
            </w:r>
          </w:p>
        </w:tc>
        <w:tc>
          <w:tcPr>
            <w:tcW w:w="3299" w:type="dxa"/>
            <w:tcBorders>
              <w:top w:val="triple" w:sz="4" w:space="0" w:color="auto"/>
              <w:left w:val="triple" w:sz="4" w:space="0" w:color="auto"/>
              <w:bottom w:val="triple" w:sz="4" w:space="0" w:color="auto"/>
              <w:right w:val="triple" w:sz="4" w:space="0" w:color="auto"/>
            </w:tcBorders>
          </w:tcPr>
          <w:p>
            <w:pPr>
              <w:tabs>
                <w:tab w:val="left" w:pos="1922"/>
                <w:tab w:val="left" w:pos="5387"/>
              </w:tabs>
              <w:spacing w:before="120" w:after="120"/>
              <w:jc w:val="center"/>
              <w:rPr>
                <w:rFonts w:ascii="Book Antiqua" w:hAnsi="Book Antiqua"/>
                <w:spacing w:val="-2"/>
                <w:lang w:val="fr-BE"/>
              </w:rPr>
            </w:pPr>
            <w:r>
              <w:rPr>
                <w:rFonts w:ascii="Book Antiqua" w:hAnsi="Book Antiqua"/>
                <w:spacing w:val="-2"/>
                <w:lang w:val="fr-BE"/>
              </w:rPr>
              <w:t>Nouvelles normes</w:t>
            </w:r>
          </w:p>
        </w:tc>
      </w:tr>
      <w:tr>
        <w:trPr>
          <w:trHeight w:val="902"/>
          <w:jc w:val="center"/>
        </w:trPr>
        <w:tc>
          <w:tcPr>
            <w:tcW w:w="5674" w:type="dxa"/>
            <w:tcBorders>
              <w:right w:val="triple" w:sz="4" w:space="0" w:color="auto"/>
            </w:tcBorders>
          </w:tcPr>
          <w:p>
            <w:pPr>
              <w:tabs>
                <w:tab w:val="left" w:pos="1922"/>
                <w:tab w:val="left" w:pos="5529"/>
              </w:tabs>
              <w:jc w:val="both"/>
              <w:rPr>
                <w:rFonts w:ascii="Book Antiqua" w:hAnsi="Book Antiqua"/>
                <w:spacing w:val="-2"/>
                <w:lang w:val="fr-BE"/>
              </w:rPr>
            </w:pPr>
          </w:p>
          <w:p>
            <w:pPr>
              <w:tabs>
                <w:tab w:val="left" w:pos="1922"/>
                <w:tab w:val="left" w:pos="5529"/>
              </w:tabs>
              <w:jc w:val="both"/>
              <w:rPr>
                <w:rFonts w:ascii="Book Antiqua" w:hAnsi="Book Antiqua"/>
                <w:spacing w:val="-2"/>
                <w:lang w:val="fr-BE"/>
              </w:rPr>
            </w:pPr>
            <w:r>
              <w:rPr>
                <w:rFonts w:ascii="Book Antiqua" w:hAnsi="Book Antiqua"/>
                <w:spacing w:val="-2"/>
                <w:lang w:val="fr-BE"/>
              </w:rPr>
              <w:t>3</w:t>
            </w:r>
            <w:r>
              <w:rPr>
                <w:rFonts w:ascii="Book Antiqua" w:hAnsi="Book Antiqua"/>
                <w:spacing w:val="-2"/>
                <w:vertAlign w:val="superscript"/>
                <w:lang w:val="fr-BE"/>
              </w:rPr>
              <w:t>ème</w:t>
            </w:r>
            <w:r>
              <w:rPr>
                <w:rFonts w:ascii="Book Antiqua" w:hAnsi="Book Antiqua"/>
                <w:spacing w:val="-2"/>
                <w:lang w:val="fr-BE"/>
              </w:rPr>
              <w:t xml:space="preserve"> P                                      par option</w:t>
            </w:r>
          </w:p>
        </w:tc>
        <w:tc>
          <w:tcPr>
            <w:tcW w:w="3299" w:type="dxa"/>
            <w:tcBorders>
              <w:top w:val="triple" w:sz="4" w:space="0" w:color="auto"/>
              <w:left w:val="triple" w:sz="4" w:space="0" w:color="auto"/>
              <w:right w:val="triple" w:sz="4" w:space="0" w:color="auto"/>
            </w:tcBorders>
          </w:tcPr>
          <w:p>
            <w:pPr>
              <w:tabs>
                <w:tab w:val="left" w:pos="1922"/>
                <w:tab w:val="left" w:pos="5387"/>
              </w:tabs>
              <w:jc w:val="center"/>
              <w:rPr>
                <w:rFonts w:ascii="Book Antiqua" w:hAnsi="Book Antiqua"/>
                <w:b/>
                <w:spacing w:val="-2"/>
                <w:lang w:val="fr-BE"/>
              </w:rPr>
            </w:pPr>
          </w:p>
          <w:p>
            <w:pPr>
              <w:tabs>
                <w:tab w:val="left" w:pos="1922"/>
                <w:tab w:val="left" w:pos="5387"/>
              </w:tabs>
              <w:jc w:val="center"/>
              <w:rPr>
                <w:rFonts w:ascii="Book Antiqua" w:hAnsi="Book Antiqua"/>
                <w:b/>
                <w:spacing w:val="-2"/>
                <w:lang w:val="fr-BE"/>
              </w:rPr>
            </w:pPr>
            <w:r>
              <w:rPr>
                <w:rFonts w:ascii="Book Antiqua" w:hAnsi="Book Antiqua"/>
                <w:b/>
                <w:spacing w:val="-2"/>
                <w:lang w:val="fr-BE"/>
              </w:rPr>
              <w:t>12</w:t>
            </w:r>
          </w:p>
        </w:tc>
      </w:tr>
      <w:tr>
        <w:trPr>
          <w:trHeight w:val="242"/>
          <w:jc w:val="center"/>
        </w:trPr>
        <w:tc>
          <w:tcPr>
            <w:tcW w:w="5674" w:type="dxa"/>
            <w:tcBorders>
              <w:right w:val="triple" w:sz="4" w:space="0" w:color="auto"/>
            </w:tcBorders>
          </w:tcPr>
          <w:p>
            <w:pPr>
              <w:tabs>
                <w:tab w:val="left" w:pos="1922"/>
                <w:tab w:val="left" w:pos="5387"/>
              </w:tabs>
              <w:jc w:val="center"/>
              <w:rPr>
                <w:rFonts w:ascii="Book Antiqua" w:hAnsi="Book Antiqua"/>
                <w:b/>
                <w:spacing w:val="-2"/>
                <w:u w:val="single"/>
                <w:lang w:val="fr-BE"/>
              </w:rPr>
            </w:pPr>
            <w:r>
              <w:rPr>
                <w:rFonts w:ascii="Book Antiqua" w:hAnsi="Book Antiqua"/>
                <w:b/>
                <w:spacing w:val="-2"/>
                <w:lang w:val="fr-BE"/>
              </w:rPr>
              <w:t>3</w:t>
            </w:r>
            <w:r>
              <w:rPr>
                <w:rFonts w:ascii="Book Antiqua" w:hAnsi="Book Antiqua"/>
                <w:b/>
                <w:spacing w:val="-2"/>
                <w:vertAlign w:val="superscript"/>
                <w:lang w:val="fr-BE"/>
              </w:rPr>
              <w:t>ème</w:t>
            </w:r>
            <w:r>
              <w:rPr>
                <w:rFonts w:ascii="Book Antiqua" w:hAnsi="Book Antiqua"/>
                <w:b/>
                <w:spacing w:val="-2"/>
                <w:lang w:val="fr-BE"/>
              </w:rPr>
              <w:t xml:space="preserve"> DEGR</w:t>
            </w:r>
            <w:r>
              <w:rPr>
                <w:rFonts w:ascii="Book Antiqua" w:hAnsi="Book Antiqua"/>
                <w:b/>
                <w:caps/>
                <w:spacing w:val="-2"/>
                <w:lang w:val="fr-BE"/>
              </w:rPr>
              <w:t>é</w:t>
            </w:r>
          </w:p>
        </w:tc>
        <w:tc>
          <w:tcPr>
            <w:tcW w:w="3299" w:type="dxa"/>
            <w:tcBorders>
              <w:left w:val="triple" w:sz="4" w:space="0" w:color="auto"/>
              <w:right w:val="triple" w:sz="4" w:space="0" w:color="auto"/>
            </w:tcBorders>
          </w:tcPr>
          <w:p>
            <w:pPr>
              <w:tabs>
                <w:tab w:val="left" w:pos="1922"/>
                <w:tab w:val="left" w:pos="5387"/>
              </w:tabs>
              <w:jc w:val="both"/>
              <w:rPr>
                <w:rFonts w:ascii="Book Antiqua" w:hAnsi="Book Antiqua"/>
                <w:spacing w:val="-2"/>
                <w:lang w:val="fr-BE"/>
              </w:rPr>
            </w:pPr>
          </w:p>
        </w:tc>
      </w:tr>
      <w:tr>
        <w:trPr>
          <w:trHeight w:val="898"/>
          <w:jc w:val="center"/>
        </w:trPr>
        <w:tc>
          <w:tcPr>
            <w:tcW w:w="5674" w:type="dxa"/>
            <w:tcBorders>
              <w:right w:val="triple" w:sz="4" w:space="0" w:color="auto"/>
            </w:tcBorders>
          </w:tcPr>
          <w:p>
            <w:pPr>
              <w:tabs>
                <w:tab w:val="left" w:pos="1922"/>
                <w:tab w:val="left" w:pos="5670"/>
              </w:tabs>
              <w:jc w:val="both"/>
              <w:rPr>
                <w:rFonts w:ascii="Book Antiqua" w:hAnsi="Book Antiqua"/>
                <w:spacing w:val="-2"/>
                <w:lang w:val="fr-BE"/>
              </w:rPr>
            </w:pPr>
          </w:p>
          <w:p>
            <w:pPr>
              <w:tabs>
                <w:tab w:val="left" w:pos="5670"/>
              </w:tabs>
              <w:jc w:val="both"/>
              <w:rPr>
                <w:rFonts w:ascii="Book Antiqua" w:hAnsi="Book Antiqua"/>
                <w:spacing w:val="-2"/>
                <w:lang w:val="fr-BE"/>
              </w:rPr>
            </w:pPr>
            <w:r>
              <w:rPr>
                <w:rFonts w:ascii="Book Antiqua" w:hAnsi="Book Antiqua"/>
                <w:spacing w:val="-2"/>
                <w:lang w:val="fr-BE"/>
              </w:rPr>
              <w:t>5</w:t>
            </w:r>
            <w:r>
              <w:rPr>
                <w:rFonts w:ascii="Book Antiqua" w:hAnsi="Book Antiqua"/>
                <w:spacing w:val="-2"/>
                <w:vertAlign w:val="superscript"/>
                <w:lang w:val="fr-BE"/>
              </w:rPr>
              <w:t>ème</w:t>
            </w:r>
            <w:r>
              <w:rPr>
                <w:rFonts w:ascii="Book Antiqua" w:hAnsi="Book Antiqua"/>
                <w:spacing w:val="-2"/>
                <w:lang w:val="fr-BE"/>
              </w:rPr>
              <w:t xml:space="preserve"> </w:t>
            </w:r>
            <w:proofErr w:type="spellStart"/>
            <w:r>
              <w:rPr>
                <w:rFonts w:ascii="Book Antiqua" w:hAnsi="Book Antiqua"/>
                <w:spacing w:val="-2"/>
                <w:lang w:val="fr-BE"/>
              </w:rPr>
              <w:t>Tqual</w:t>
            </w:r>
            <w:proofErr w:type="spellEnd"/>
            <w:r>
              <w:rPr>
                <w:rFonts w:ascii="Book Antiqua" w:hAnsi="Book Antiqua"/>
                <w:spacing w:val="-2"/>
                <w:lang w:val="fr-BE"/>
              </w:rPr>
              <w:t xml:space="preserve">                                                                     par option</w:t>
            </w:r>
          </w:p>
          <w:p>
            <w:pPr>
              <w:tabs>
                <w:tab w:val="left" w:pos="5670"/>
              </w:tabs>
              <w:jc w:val="both"/>
              <w:rPr>
                <w:rFonts w:ascii="Book Antiqua" w:hAnsi="Book Antiqua"/>
                <w:spacing w:val="-2"/>
                <w:u w:val="single"/>
                <w:lang w:val="fr-BE"/>
              </w:rPr>
            </w:pPr>
            <w:r>
              <w:rPr>
                <w:rFonts w:ascii="Book Antiqua" w:hAnsi="Book Antiqua"/>
                <w:spacing w:val="-2"/>
                <w:lang w:val="fr-BE"/>
              </w:rPr>
              <w:t>5</w:t>
            </w:r>
            <w:r>
              <w:rPr>
                <w:rFonts w:ascii="Book Antiqua" w:hAnsi="Book Antiqua"/>
                <w:spacing w:val="-2"/>
                <w:vertAlign w:val="superscript"/>
                <w:lang w:val="fr-BE"/>
              </w:rPr>
              <w:t>ème</w:t>
            </w:r>
            <w:r>
              <w:rPr>
                <w:rFonts w:ascii="Book Antiqua" w:hAnsi="Book Antiqua"/>
                <w:spacing w:val="-2"/>
                <w:lang w:val="fr-BE"/>
              </w:rPr>
              <w:t xml:space="preserve"> P                                                                             par option </w:t>
            </w:r>
          </w:p>
        </w:tc>
        <w:tc>
          <w:tcPr>
            <w:tcW w:w="3299" w:type="dxa"/>
            <w:tcBorders>
              <w:left w:val="triple" w:sz="4" w:space="0" w:color="auto"/>
              <w:bottom w:val="single" w:sz="4" w:space="0" w:color="auto"/>
              <w:right w:val="triple" w:sz="4" w:space="0" w:color="auto"/>
            </w:tcBorders>
          </w:tcPr>
          <w:p>
            <w:pPr>
              <w:tabs>
                <w:tab w:val="left" w:pos="1922"/>
                <w:tab w:val="left" w:pos="5387"/>
              </w:tabs>
              <w:jc w:val="center"/>
              <w:rPr>
                <w:rFonts w:ascii="Book Antiqua" w:hAnsi="Book Antiqua"/>
                <w:b/>
                <w:spacing w:val="-2"/>
                <w:lang w:val="fr-BE"/>
              </w:rPr>
            </w:pPr>
          </w:p>
          <w:p>
            <w:pPr>
              <w:tabs>
                <w:tab w:val="left" w:pos="1922"/>
                <w:tab w:val="left" w:pos="5387"/>
              </w:tabs>
              <w:jc w:val="center"/>
              <w:rPr>
                <w:rFonts w:ascii="Book Antiqua" w:hAnsi="Book Antiqua"/>
                <w:b/>
                <w:spacing w:val="-2"/>
                <w:lang w:val="fr-BE"/>
              </w:rPr>
            </w:pPr>
            <w:r>
              <w:rPr>
                <w:rFonts w:ascii="Book Antiqua" w:hAnsi="Book Antiqua"/>
                <w:b/>
                <w:spacing w:val="-2"/>
                <w:lang w:val="fr-BE"/>
              </w:rPr>
              <w:t>10</w:t>
            </w:r>
          </w:p>
          <w:p>
            <w:pPr>
              <w:tabs>
                <w:tab w:val="left" w:pos="1922"/>
                <w:tab w:val="left" w:pos="5387"/>
              </w:tabs>
              <w:jc w:val="center"/>
              <w:rPr>
                <w:rFonts w:ascii="Book Antiqua" w:hAnsi="Book Antiqua"/>
                <w:b/>
                <w:spacing w:val="-2"/>
                <w:lang w:val="fr-BE"/>
              </w:rPr>
            </w:pPr>
            <w:r>
              <w:rPr>
                <w:rFonts w:ascii="Book Antiqua" w:hAnsi="Book Antiqua"/>
                <w:b/>
                <w:spacing w:val="-2"/>
                <w:lang w:val="fr-BE"/>
              </w:rPr>
              <w:t>10</w:t>
            </w:r>
          </w:p>
        </w:tc>
      </w:tr>
      <w:tr>
        <w:trPr>
          <w:trHeight w:val="701"/>
          <w:jc w:val="center"/>
        </w:trPr>
        <w:tc>
          <w:tcPr>
            <w:tcW w:w="5674" w:type="dxa"/>
            <w:tcBorders>
              <w:right w:val="triple" w:sz="4" w:space="0" w:color="auto"/>
            </w:tcBorders>
            <w:shd w:val="clear" w:color="auto" w:fill="E6E6E6"/>
          </w:tcPr>
          <w:p>
            <w:pPr>
              <w:tabs>
                <w:tab w:val="left" w:pos="1922"/>
                <w:tab w:val="left" w:pos="5670"/>
              </w:tabs>
              <w:jc w:val="both"/>
              <w:rPr>
                <w:rFonts w:ascii="Book Antiqua" w:hAnsi="Book Antiqua"/>
                <w:spacing w:val="-2"/>
                <w:lang w:val="fr-BE"/>
              </w:rPr>
            </w:pPr>
            <w:r>
              <w:rPr>
                <w:rFonts w:ascii="Book Antiqua" w:hAnsi="Book Antiqua"/>
                <w:spacing w:val="-2"/>
                <w:lang w:val="fr-BE"/>
              </w:rPr>
              <w:t>5</w:t>
            </w:r>
            <w:r>
              <w:rPr>
                <w:rFonts w:ascii="Book Antiqua" w:hAnsi="Book Antiqua"/>
                <w:spacing w:val="-2"/>
                <w:vertAlign w:val="superscript"/>
                <w:lang w:val="fr-BE"/>
              </w:rPr>
              <w:t>ème</w:t>
            </w:r>
            <w:r>
              <w:rPr>
                <w:rFonts w:ascii="Book Antiqua" w:hAnsi="Book Antiqua"/>
                <w:spacing w:val="-2"/>
                <w:lang w:val="fr-BE"/>
              </w:rPr>
              <w:t xml:space="preserve"> </w:t>
            </w:r>
            <w:proofErr w:type="spellStart"/>
            <w:r>
              <w:rPr>
                <w:rFonts w:ascii="Book Antiqua" w:hAnsi="Book Antiqua"/>
                <w:spacing w:val="-2"/>
                <w:lang w:val="fr-BE"/>
              </w:rPr>
              <w:t>Tqual</w:t>
            </w:r>
            <w:proofErr w:type="spellEnd"/>
            <w:r>
              <w:rPr>
                <w:rFonts w:ascii="Book Antiqua" w:hAnsi="Book Antiqua"/>
                <w:spacing w:val="-2"/>
                <w:lang w:val="fr-BE"/>
              </w:rPr>
              <w:t xml:space="preserve">                                   si BEFE</w:t>
            </w:r>
          </w:p>
          <w:p>
            <w:pPr>
              <w:tabs>
                <w:tab w:val="left" w:pos="1922"/>
                <w:tab w:val="left" w:pos="5670"/>
              </w:tabs>
              <w:jc w:val="both"/>
              <w:rPr>
                <w:rFonts w:ascii="Book Antiqua" w:hAnsi="Book Antiqua"/>
                <w:spacing w:val="-2"/>
                <w:lang w:val="fr-BE"/>
              </w:rPr>
            </w:pPr>
            <w:r>
              <w:rPr>
                <w:rFonts w:ascii="Book Antiqua" w:hAnsi="Book Antiqua"/>
                <w:spacing w:val="-2"/>
                <w:lang w:val="fr-BE"/>
              </w:rPr>
              <w:t>5</w:t>
            </w:r>
            <w:r>
              <w:rPr>
                <w:rFonts w:ascii="Book Antiqua" w:hAnsi="Book Antiqua"/>
                <w:spacing w:val="-2"/>
                <w:vertAlign w:val="superscript"/>
                <w:lang w:val="fr-BE"/>
              </w:rPr>
              <w:t>ème</w:t>
            </w:r>
            <w:r>
              <w:rPr>
                <w:rFonts w:ascii="Book Antiqua" w:hAnsi="Book Antiqua"/>
                <w:spacing w:val="-2"/>
                <w:lang w:val="fr-BE"/>
              </w:rPr>
              <w:t xml:space="preserve"> P                                           si BEFE </w:t>
            </w:r>
          </w:p>
        </w:tc>
        <w:tc>
          <w:tcPr>
            <w:tcW w:w="3299" w:type="dxa"/>
            <w:tcBorders>
              <w:left w:val="triple" w:sz="4" w:space="0" w:color="auto"/>
              <w:right w:val="triple" w:sz="4" w:space="0" w:color="auto"/>
            </w:tcBorders>
            <w:shd w:val="clear" w:color="auto" w:fill="E6E6E6"/>
          </w:tcPr>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tc>
      </w:tr>
      <w:tr>
        <w:trPr>
          <w:trHeight w:val="980"/>
          <w:jc w:val="center"/>
        </w:trPr>
        <w:tc>
          <w:tcPr>
            <w:tcW w:w="5674" w:type="dxa"/>
            <w:tcBorders>
              <w:right w:val="triple" w:sz="4" w:space="0" w:color="auto"/>
            </w:tcBorders>
          </w:tcPr>
          <w:p>
            <w:pPr>
              <w:tabs>
                <w:tab w:val="left" w:pos="1922"/>
                <w:tab w:val="left" w:pos="5670"/>
              </w:tabs>
              <w:jc w:val="both"/>
              <w:rPr>
                <w:rFonts w:ascii="Book Antiqua" w:hAnsi="Book Antiqua"/>
                <w:spacing w:val="-2"/>
                <w:lang w:val="fr-BE"/>
              </w:rPr>
            </w:pPr>
            <w:r>
              <w:rPr>
                <w:rFonts w:ascii="Book Antiqua" w:hAnsi="Book Antiqua"/>
                <w:spacing w:val="-2"/>
                <w:lang w:val="fr-BE"/>
              </w:rPr>
              <w:t>7</w:t>
            </w:r>
            <w:r>
              <w:rPr>
                <w:rFonts w:ascii="Book Antiqua" w:hAnsi="Book Antiqua"/>
                <w:spacing w:val="-2"/>
                <w:vertAlign w:val="superscript"/>
                <w:lang w:val="fr-BE"/>
              </w:rPr>
              <w:t>ème</w:t>
            </w:r>
            <w:r>
              <w:rPr>
                <w:rFonts w:ascii="Book Antiqua" w:hAnsi="Book Antiqua"/>
                <w:spacing w:val="-2"/>
                <w:lang w:val="fr-BE"/>
              </w:rPr>
              <w:t xml:space="preserve"> P de type B                           par option</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1/3 des cours</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2/3 des cours</w:t>
            </w:r>
          </w:p>
          <w:p>
            <w:pPr>
              <w:tabs>
                <w:tab w:val="left" w:pos="1922"/>
                <w:tab w:val="left" w:pos="5670"/>
              </w:tabs>
              <w:jc w:val="center"/>
              <w:rPr>
                <w:rFonts w:ascii="Book Antiqua" w:hAnsi="Book Antiqua"/>
                <w:spacing w:val="-2"/>
                <w:lang w:val="fr-BE"/>
              </w:rPr>
            </w:pPr>
            <w:r>
              <w:rPr>
                <w:rFonts w:ascii="Book Antiqua" w:hAnsi="Book Antiqua"/>
                <w:spacing w:val="-2"/>
                <w:lang w:val="fr-BE"/>
              </w:rPr>
              <w:t xml:space="preserve">                                                       si groupement de tous les cours</w:t>
            </w:r>
          </w:p>
        </w:tc>
        <w:tc>
          <w:tcPr>
            <w:tcW w:w="3299" w:type="dxa"/>
            <w:tcBorders>
              <w:left w:val="triple" w:sz="4" w:space="0" w:color="auto"/>
              <w:right w:val="triple" w:sz="4" w:space="0" w:color="auto"/>
            </w:tcBorders>
          </w:tcPr>
          <w:p>
            <w:pPr>
              <w:tabs>
                <w:tab w:val="left" w:pos="1922"/>
                <w:tab w:val="left" w:pos="5387"/>
              </w:tabs>
              <w:jc w:val="center"/>
              <w:rPr>
                <w:rFonts w:ascii="Book Antiqua" w:hAnsi="Book Antiqua"/>
                <w:b/>
                <w:spacing w:val="-2"/>
                <w:lang w:val="fr-BE"/>
              </w:rPr>
            </w:pPr>
            <w:r>
              <w:rPr>
                <w:rFonts w:ascii="Book Antiqua" w:hAnsi="Book Antiqua"/>
                <w:b/>
                <w:spacing w:val="-2"/>
                <w:lang w:val="fr-BE"/>
              </w:rPr>
              <w:t>10</w:t>
            </w:r>
          </w:p>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p>
            <w:pPr>
              <w:tabs>
                <w:tab w:val="left" w:pos="1922"/>
                <w:tab w:val="left" w:pos="5387"/>
              </w:tabs>
              <w:jc w:val="center"/>
              <w:rPr>
                <w:rFonts w:ascii="Book Antiqua" w:hAnsi="Book Antiqua"/>
                <w:b/>
                <w:spacing w:val="-2"/>
                <w:lang w:val="fr-BE"/>
              </w:rPr>
            </w:pPr>
            <w:r>
              <w:rPr>
                <w:rFonts w:ascii="Book Antiqua" w:hAnsi="Book Antiqua"/>
                <w:b/>
                <w:spacing w:val="-2"/>
                <w:lang w:val="fr-BE"/>
              </w:rPr>
              <w:t>5</w:t>
            </w:r>
          </w:p>
          <w:p>
            <w:pPr>
              <w:tabs>
                <w:tab w:val="left" w:pos="1922"/>
                <w:tab w:val="left" w:pos="5387"/>
              </w:tabs>
              <w:jc w:val="center"/>
              <w:rPr>
                <w:rFonts w:ascii="Book Antiqua" w:hAnsi="Book Antiqua"/>
                <w:b/>
                <w:spacing w:val="-2"/>
                <w:lang w:val="fr-BE"/>
              </w:rPr>
            </w:pPr>
            <w:r>
              <w:rPr>
                <w:rFonts w:ascii="Book Antiqua" w:hAnsi="Book Antiqua"/>
                <w:b/>
                <w:spacing w:val="-2"/>
                <w:lang w:val="fr-BE"/>
              </w:rPr>
              <w:t>2</w:t>
            </w:r>
          </w:p>
        </w:tc>
      </w:tr>
      <w:tr>
        <w:trPr>
          <w:trHeight w:val="1477"/>
          <w:jc w:val="center"/>
        </w:trPr>
        <w:tc>
          <w:tcPr>
            <w:tcW w:w="5674" w:type="dxa"/>
            <w:tcBorders>
              <w:right w:val="triple" w:sz="4" w:space="0" w:color="auto"/>
            </w:tcBorders>
            <w:shd w:val="clear" w:color="auto" w:fill="E6E6E6"/>
          </w:tcPr>
          <w:p>
            <w:pPr>
              <w:tabs>
                <w:tab w:val="left" w:pos="1922"/>
                <w:tab w:val="left" w:pos="5670"/>
              </w:tabs>
              <w:jc w:val="both"/>
              <w:rPr>
                <w:rFonts w:ascii="Book Antiqua" w:hAnsi="Book Antiqua"/>
                <w:spacing w:val="-2"/>
                <w:lang w:val="fr-BE"/>
              </w:rPr>
            </w:pPr>
            <w:r>
              <w:rPr>
                <w:rFonts w:ascii="Book Antiqua" w:hAnsi="Book Antiqua"/>
                <w:spacing w:val="-2"/>
                <w:lang w:val="fr-BE"/>
              </w:rPr>
              <w:t>7</w:t>
            </w:r>
            <w:r>
              <w:rPr>
                <w:rFonts w:ascii="Book Antiqua" w:hAnsi="Book Antiqua"/>
                <w:spacing w:val="-2"/>
                <w:vertAlign w:val="superscript"/>
                <w:lang w:val="fr-BE"/>
              </w:rPr>
              <w:t>ème</w:t>
            </w:r>
            <w:r>
              <w:rPr>
                <w:rFonts w:ascii="Book Antiqua" w:hAnsi="Book Antiqua"/>
                <w:spacing w:val="-2"/>
                <w:lang w:val="fr-BE"/>
              </w:rPr>
              <w:t xml:space="preserve"> P de type B  sur avis conforme du CGC pour compléter une offre de formation de 5</w:t>
            </w:r>
            <w:r>
              <w:rPr>
                <w:rFonts w:ascii="Book Antiqua" w:hAnsi="Book Antiqua"/>
                <w:spacing w:val="-2"/>
                <w:vertAlign w:val="superscript"/>
                <w:lang w:val="fr-BE"/>
              </w:rPr>
              <w:t xml:space="preserve">e </w:t>
            </w:r>
            <w:r>
              <w:rPr>
                <w:rFonts w:ascii="Book Antiqua" w:hAnsi="Book Antiqua"/>
                <w:spacing w:val="-2"/>
                <w:lang w:val="fr-BE"/>
              </w:rPr>
              <w:t>et 6</w:t>
            </w:r>
            <w:r>
              <w:rPr>
                <w:rFonts w:ascii="Book Antiqua" w:hAnsi="Book Antiqua"/>
                <w:spacing w:val="-2"/>
                <w:vertAlign w:val="superscript"/>
                <w:lang w:val="fr-BE"/>
              </w:rPr>
              <w:t xml:space="preserve">e </w:t>
            </w:r>
            <w:r>
              <w:rPr>
                <w:rFonts w:ascii="Book Antiqua" w:hAnsi="Book Antiqua"/>
                <w:spacing w:val="-2"/>
                <w:lang w:val="fr-BE"/>
              </w:rPr>
              <w:t xml:space="preserve"> ou si relève des thématiques BEFE                            </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1/3 des cours</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2/3 des cours</w:t>
            </w:r>
          </w:p>
          <w:p>
            <w:pPr>
              <w:tabs>
                <w:tab w:val="left" w:pos="1922"/>
                <w:tab w:val="left" w:pos="5670"/>
              </w:tabs>
              <w:jc w:val="center"/>
              <w:rPr>
                <w:rFonts w:ascii="Book Antiqua" w:hAnsi="Book Antiqua"/>
                <w:spacing w:val="-2"/>
                <w:lang w:val="fr-BE"/>
              </w:rPr>
            </w:pPr>
            <w:r>
              <w:rPr>
                <w:rFonts w:ascii="Book Antiqua" w:hAnsi="Book Antiqua"/>
                <w:spacing w:val="-2"/>
                <w:lang w:val="fr-BE"/>
              </w:rPr>
              <w:t xml:space="preserve">                                                        si groupement de tous les cours</w:t>
            </w:r>
          </w:p>
        </w:tc>
        <w:tc>
          <w:tcPr>
            <w:tcW w:w="3299" w:type="dxa"/>
            <w:tcBorders>
              <w:left w:val="triple" w:sz="4" w:space="0" w:color="auto"/>
              <w:right w:val="triple" w:sz="4" w:space="0" w:color="auto"/>
            </w:tcBorders>
            <w:shd w:val="clear" w:color="auto" w:fill="E6E6E6"/>
          </w:tcPr>
          <w:p>
            <w:pPr>
              <w:tabs>
                <w:tab w:val="left" w:pos="1922"/>
                <w:tab w:val="left" w:pos="5387"/>
              </w:tabs>
              <w:jc w:val="center"/>
              <w:rPr>
                <w:rFonts w:ascii="Book Antiqua" w:hAnsi="Book Antiqua"/>
                <w:b/>
                <w:spacing w:val="-2"/>
                <w:lang w:val="fr-BE"/>
              </w:rPr>
            </w:pPr>
          </w:p>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p>
            <w:pPr>
              <w:tabs>
                <w:tab w:val="left" w:pos="1922"/>
                <w:tab w:val="left" w:pos="5387"/>
              </w:tabs>
              <w:jc w:val="center"/>
              <w:rPr>
                <w:rFonts w:ascii="Book Antiqua" w:hAnsi="Book Antiqua"/>
                <w:b/>
                <w:spacing w:val="-2"/>
                <w:lang w:val="fr-BE"/>
              </w:rPr>
            </w:pPr>
            <w:r>
              <w:rPr>
                <w:rFonts w:ascii="Book Antiqua" w:hAnsi="Book Antiqua"/>
                <w:b/>
                <w:spacing w:val="-2"/>
                <w:lang w:val="fr-BE"/>
              </w:rPr>
              <w:t>6</w:t>
            </w:r>
          </w:p>
          <w:p>
            <w:pPr>
              <w:tabs>
                <w:tab w:val="left" w:pos="1922"/>
                <w:tab w:val="left" w:pos="5387"/>
              </w:tabs>
              <w:jc w:val="center"/>
              <w:rPr>
                <w:rFonts w:ascii="Book Antiqua" w:hAnsi="Book Antiqua"/>
                <w:b/>
                <w:spacing w:val="-2"/>
                <w:lang w:val="fr-BE"/>
              </w:rPr>
            </w:pPr>
            <w:r>
              <w:rPr>
                <w:rFonts w:ascii="Book Antiqua" w:hAnsi="Book Antiqua"/>
                <w:b/>
                <w:spacing w:val="-2"/>
                <w:lang w:val="fr-BE"/>
              </w:rPr>
              <w:t>4</w:t>
            </w:r>
          </w:p>
          <w:p>
            <w:pPr>
              <w:tabs>
                <w:tab w:val="left" w:pos="1922"/>
                <w:tab w:val="left" w:pos="5387"/>
              </w:tabs>
              <w:jc w:val="center"/>
              <w:rPr>
                <w:rFonts w:ascii="Book Antiqua" w:hAnsi="Book Antiqua"/>
                <w:b/>
                <w:spacing w:val="-2"/>
                <w:lang w:val="fr-BE"/>
              </w:rPr>
            </w:pPr>
            <w:r>
              <w:rPr>
                <w:rFonts w:ascii="Book Antiqua" w:hAnsi="Book Antiqua"/>
                <w:b/>
                <w:spacing w:val="-2"/>
                <w:lang w:val="fr-BE"/>
              </w:rPr>
              <w:t>1</w:t>
            </w:r>
          </w:p>
        </w:tc>
      </w:tr>
      <w:tr>
        <w:trPr>
          <w:trHeight w:val="966"/>
          <w:jc w:val="center"/>
        </w:trPr>
        <w:tc>
          <w:tcPr>
            <w:tcW w:w="5674" w:type="dxa"/>
            <w:tcBorders>
              <w:right w:val="triple" w:sz="4" w:space="0" w:color="auto"/>
            </w:tcBorders>
          </w:tcPr>
          <w:p>
            <w:pPr>
              <w:tabs>
                <w:tab w:val="left" w:pos="1922"/>
                <w:tab w:val="left" w:pos="5670"/>
              </w:tabs>
              <w:jc w:val="both"/>
              <w:rPr>
                <w:rFonts w:ascii="Book Antiqua" w:hAnsi="Book Antiqua"/>
                <w:spacing w:val="-2"/>
                <w:lang w:val="fr-BE"/>
              </w:rPr>
            </w:pPr>
            <w:r>
              <w:rPr>
                <w:rFonts w:ascii="Book Antiqua" w:hAnsi="Book Antiqua"/>
                <w:spacing w:val="-2"/>
                <w:lang w:val="fr-BE"/>
              </w:rPr>
              <w:t>7</w:t>
            </w:r>
            <w:r>
              <w:rPr>
                <w:rFonts w:ascii="Book Antiqua" w:hAnsi="Book Antiqua"/>
                <w:spacing w:val="-2"/>
                <w:vertAlign w:val="superscript"/>
                <w:lang w:val="fr-BE"/>
              </w:rPr>
              <w:t>ème</w:t>
            </w:r>
            <w:r>
              <w:rPr>
                <w:rFonts w:ascii="Book Antiqua" w:hAnsi="Book Antiqua"/>
                <w:spacing w:val="-2"/>
                <w:lang w:val="fr-BE"/>
              </w:rPr>
              <w:t xml:space="preserve"> </w:t>
            </w:r>
            <w:proofErr w:type="spellStart"/>
            <w:r>
              <w:rPr>
                <w:rFonts w:ascii="Book Antiqua" w:hAnsi="Book Antiqua"/>
                <w:spacing w:val="-2"/>
                <w:lang w:val="fr-BE"/>
              </w:rPr>
              <w:t>Tqual</w:t>
            </w:r>
            <w:proofErr w:type="spellEnd"/>
            <w:r>
              <w:rPr>
                <w:rFonts w:ascii="Book Antiqua" w:hAnsi="Book Antiqua"/>
                <w:spacing w:val="-2"/>
                <w:lang w:val="fr-BE"/>
              </w:rPr>
              <w:t xml:space="preserve">                                      par option</w:t>
            </w:r>
          </w:p>
          <w:p>
            <w:pPr>
              <w:tabs>
                <w:tab w:val="left" w:pos="1922"/>
                <w:tab w:val="left" w:pos="5670"/>
              </w:tabs>
              <w:jc w:val="center"/>
              <w:rPr>
                <w:rFonts w:ascii="Book Antiqua" w:hAnsi="Book Antiqua"/>
                <w:spacing w:val="-2"/>
                <w:lang w:val="fr-BE"/>
              </w:rPr>
            </w:pPr>
            <w:r>
              <w:rPr>
                <w:rFonts w:ascii="Book Antiqua" w:hAnsi="Book Antiqua"/>
                <w:spacing w:val="-2"/>
                <w:lang w:val="fr-BE"/>
              </w:rPr>
              <w:t xml:space="preserve">                                                   si groupement 1/3 des cours</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2/3 des cours</w:t>
            </w:r>
          </w:p>
          <w:p>
            <w:pPr>
              <w:tabs>
                <w:tab w:val="left" w:pos="1922"/>
                <w:tab w:val="left" w:pos="5670"/>
              </w:tabs>
              <w:jc w:val="center"/>
              <w:rPr>
                <w:rFonts w:ascii="Book Antiqua" w:hAnsi="Book Antiqua"/>
                <w:spacing w:val="-2"/>
                <w:lang w:val="fr-BE"/>
              </w:rPr>
            </w:pPr>
            <w:r>
              <w:rPr>
                <w:rFonts w:ascii="Book Antiqua" w:hAnsi="Book Antiqua"/>
                <w:spacing w:val="-2"/>
                <w:lang w:val="fr-BE"/>
              </w:rPr>
              <w:t xml:space="preserve">                                                       si groupement de tous les cours</w:t>
            </w:r>
          </w:p>
        </w:tc>
        <w:tc>
          <w:tcPr>
            <w:tcW w:w="3299" w:type="dxa"/>
            <w:tcBorders>
              <w:left w:val="triple" w:sz="4" w:space="0" w:color="auto"/>
              <w:right w:val="triple" w:sz="4" w:space="0" w:color="auto"/>
            </w:tcBorders>
          </w:tcPr>
          <w:p>
            <w:pPr>
              <w:tabs>
                <w:tab w:val="left" w:pos="1922"/>
                <w:tab w:val="left" w:pos="5387"/>
              </w:tabs>
              <w:jc w:val="center"/>
              <w:rPr>
                <w:rFonts w:ascii="Book Antiqua" w:hAnsi="Book Antiqua"/>
                <w:b/>
                <w:spacing w:val="-2"/>
                <w:lang w:val="fr-BE"/>
              </w:rPr>
            </w:pPr>
            <w:r>
              <w:rPr>
                <w:rFonts w:ascii="Book Antiqua" w:hAnsi="Book Antiqua"/>
                <w:b/>
                <w:spacing w:val="-2"/>
                <w:lang w:val="fr-BE"/>
              </w:rPr>
              <w:t>10</w:t>
            </w:r>
          </w:p>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p>
            <w:pPr>
              <w:tabs>
                <w:tab w:val="left" w:pos="1922"/>
                <w:tab w:val="left" w:pos="5387"/>
              </w:tabs>
              <w:jc w:val="center"/>
              <w:rPr>
                <w:rFonts w:ascii="Book Antiqua" w:hAnsi="Book Antiqua"/>
                <w:b/>
                <w:spacing w:val="-2"/>
                <w:lang w:val="fr-BE"/>
              </w:rPr>
            </w:pPr>
            <w:r>
              <w:rPr>
                <w:rFonts w:ascii="Book Antiqua" w:hAnsi="Book Antiqua"/>
                <w:b/>
                <w:spacing w:val="-2"/>
                <w:lang w:val="fr-BE"/>
              </w:rPr>
              <w:t>5</w:t>
            </w:r>
          </w:p>
          <w:p>
            <w:pPr>
              <w:tabs>
                <w:tab w:val="left" w:pos="1922"/>
                <w:tab w:val="left" w:pos="5387"/>
              </w:tabs>
              <w:jc w:val="center"/>
              <w:rPr>
                <w:rFonts w:ascii="Book Antiqua" w:hAnsi="Book Antiqua"/>
                <w:b/>
                <w:spacing w:val="-2"/>
                <w:lang w:val="fr-BE"/>
              </w:rPr>
            </w:pPr>
            <w:r>
              <w:rPr>
                <w:rFonts w:ascii="Book Antiqua" w:hAnsi="Book Antiqua"/>
                <w:b/>
                <w:spacing w:val="-2"/>
                <w:lang w:val="fr-BE"/>
              </w:rPr>
              <w:t>2</w:t>
            </w:r>
          </w:p>
        </w:tc>
      </w:tr>
    </w:tbl>
    <w:p>
      <w:pPr>
        <w:tabs>
          <w:tab w:val="left" w:pos="426"/>
          <w:tab w:val="left" w:pos="5670"/>
          <w:tab w:val="left" w:pos="5954"/>
        </w:tabs>
        <w:ind w:left="426"/>
        <w:rPr>
          <w:b/>
          <w:iCs/>
          <w:spacing w:val="-2"/>
          <w:sz w:val="24"/>
          <w:szCs w:val="24"/>
          <w:lang w:val="fr-BE"/>
        </w:rPr>
      </w:pPr>
    </w:p>
    <w:p>
      <w:pPr>
        <w:tabs>
          <w:tab w:val="left" w:pos="426"/>
          <w:tab w:val="left" w:pos="5670"/>
          <w:tab w:val="left" w:pos="5954"/>
        </w:tabs>
        <w:ind w:left="426"/>
        <w:rPr>
          <w:rFonts w:ascii="Book Antiqua" w:hAnsi="Book Antiqua"/>
          <w:iCs/>
          <w:spacing w:val="-2"/>
          <w:lang w:val="fr-BE"/>
        </w:rPr>
      </w:pPr>
      <w:r>
        <w:rPr>
          <w:rFonts w:ascii="Book Antiqua" w:hAnsi="Book Antiqua"/>
          <w:b/>
          <w:iCs/>
          <w:spacing w:val="-2"/>
          <w:lang w:val="fr-BE"/>
        </w:rPr>
        <w:t>Si l’option de base groupée fait l’objet d’un incitant IPIEQ, elle peut être ouverte avec 60% de la norme de création</w:t>
      </w:r>
      <w:r>
        <w:rPr>
          <w:rFonts w:ascii="Book Antiqua" w:hAnsi="Book Antiqua"/>
          <w:iCs/>
          <w:spacing w:val="-2"/>
          <w:lang w:val="fr-BE"/>
        </w:rPr>
        <w:t>.</w:t>
      </w:r>
    </w:p>
    <w:p>
      <w:pPr>
        <w:tabs>
          <w:tab w:val="left" w:pos="426"/>
          <w:tab w:val="left" w:pos="5670"/>
          <w:tab w:val="left" w:pos="5954"/>
        </w:tabs>
        <w:ind w:left="5801" w:hanging="5375"/>
        <w:rPr>
          <w:rFonts w:ascii="Book Antiqua" w:hAnsi="Book Antiqua"/>
          <w:iCs/>
          <w:spacing w:val="-2"/>
          <w:lang w:val="fr-BE"/>
        </w:rPr>
      </w:pPr>
    </w:p>
    <w:p>
      <w:pPr>
        <w:ind w:left="426"/>
        <w:jc w:val="both"/>
        <w:rPr>
          <w:rFonts w:ascii="Book Antiqua" w:hAnsi="Book Antiqua"/>
          <w:iCs/>
          <w:spacing w:val="-2"/>
          <w:lang w:val="fr-BE"/>
        </w:rPr>
      </w:pPr>
    </w:p>
    <w:p>
      <w:pPr>
        <w:ind w:left="426"/>
        <w:jc w:val="both"/>
        <w:rPr>
          <w:rFonts w:ascii="Book Antiqua" w:hAnsi="Book Antiqua"/>
        </w:rPr>
      </w:pPr>
      <w:r>
        <w:rPr>
          <w:rFonts w:ascii="Book Antiqua" w:hAnsi="Book Antiqua"/>
        </w:rPr>
        <w:t>En cas de création d’un degré et d’une ou plusieurs options au sein de ce degré, il convient de vérifier si les normes définies pour le degré sont atteintes avant de vérifier les normes des options.</w:t>
      </w:r>
    </w:p>
    <w:p>
      <w:pPr>
        <w:ind w:left="426"/>
        <w:jc w:val="both"/>
        <w:rPr>
          <w:rFonts w:ascii="Book Antiqua" w:hAnsi="Book Antiqua"/>
        </w:rPr>
      </w:pPr>
    </w:p>
    <w:p>
      <w:pPr>
        <w:pStyle w:val="niveau4"/>
        <w:ind w:left="709"/>
        <w:rPr>
          <w:spacing w:val="-2"/>
        </w:rPr>
      </w:pPr>
      <w:bookmarkStart w:id="89" w:name="_Toc522700805"/>
      <w:r>
        <w:rPr>
          <w:spacing w:val="-2"/>
        </w:rPr>
        <w:t>3. Normes de création d’une option dans le régime de la ‘CPU 4-5-6’ au 1</w:t>
      </w:r>
      <w:r>
        <w:rPr>
          <w:spacing w:val="-2"/>
          <w:vertAlign w:val="superscript"/>
        </w:rPr>
        <w:t>er</w:t>
      </w:r>
      <w:r>
        <w:rPr>
          <w:spacing w:val="-2"/>
        </w:rPr>
        <w:t xml:space="preserve"> septembre 2018  </w:t>
      </w:r>
      <w:r>
        <w:rPr>
          <w:rStyle w:val="Appelnotedebasdep"/>
          <w:spacing w:val="-2"/>
        </w:rPr>
        <w:footnoteReference w:id="185"/>
      </w:r>
      <w:bookmarkEnd w:id="89"/>
    </w:p>
    <w:p>
      <w:pPr>
        <w:tabs>
          <w:tab w:val="left" w:pos="3686"/>
        </w:tabs>
        <w:ind w:left="1134"/>
        <w:jc w:val="both"/>
        <w:rPr>
          <w:rFonts w:ascii="Book Antiqua" w:hAnsi="Book Antiqua" w:cs="Book Antiqua"/>
          <w:color w:val="000000"/>
          <w:spacing w:val="-2"/>
        </w:rPr>
      </w:pPr>
      <w:r>
        <w:rPr>
          <w:rFonts w:ascii="Book Antiqua" w:hAnsi="Book Antiqua" w:cs="Book Antiqua"/>
          <w:color w:val="000000"/>
          <w:spacing w:val="-2"/>
        </w:rPr>
        <w:t xml:space="preserve">Si l’option de base groupée organisée dans le régime de la CPU à partir de la 4ème année n’est pas appelée à remplacer une option de base groupée organisée dans l’établissement en 5ème et 6ème années, alors : </w:t>
      </w:r>
    </w:p>
    <w:p>
      <w:pPr>
        <w:tabs>
          <w:tab w:val="left" w:pos="3686"/>
        </w:tabs>
        <w:ind w:left="1701"/>
        <w:jc w:val="both"/>
        <w:rPr>
          <w:rFonts w:ascii="Book Antiqua" w:hAnsi="Book Antiqua" w:cs="Book Antiqua"/>
          <w:color w:val="000000"/>
          <w:spacing w:val="-2"/>
        </w:rPr>
      </w:pPr>
      <w:r>
        <w:rPr>
          <w:rFonts w:ascii="Book Antiqua" w:hAnsi="Book Antiqua" w:cs="Book Antiqua"/>
          <w:color w:val="000000"/>
          <w:spacing w:val="-2"/>
        </w:rPr>
        <w:t xml:space="preserve">- elle peut être créée dans le respect des règles de programmation ; </w:t>
      </w:r>
    </w:p>
    <w:p>
      <w:pPr>
        <w:tabs>
          <w:tab w:val="left" w:pos="3686"/>
        </w:tabs>
        <w:ind w:left="1701"/>
        <w:jc w:val="both"/>
        <w:rPr>
          <w:rFonts w:ascii="Book Antiqua" w:hAnsi="Book Antiqua" w:cs="Book Antiqua"/>
          <w:color w:val="000000"/>
          <w:spacing w:val="-2"/>
        </w:rPr>
      </w:pPr>
      <w:r>
        <w:rPr>
          <w:rFonts w:ascii="Book Antiqua" w:hAnsi="Book Antiqua" w:cs="Book Antiqua"/>
          <w:color w:val="000000"/>
          <w:spacing w:val="-2"/>
        </w:rPr>
        <w:t xml:space="preserve">- au 1er octobre de l’année de création, elle doit compter en 4ème année au moins 12 élèves si elle est organisée en plein exercice ou en plein exercice et en alternance, ou 10 élèves si elle n’est organisée qu’en alternance ; </w:t>
      </w:r>
    </w:p>
    <w:p>
      <w:pPr>
        <w:tabs>
          <w:tab w:val="left" w:pos="3686"/>
        </w:tabs>
        <w:spacing w:after="240"/>
        <w:ind w:left="1701"/>
        <w:jc w:val="both"/>
        <w:rPr>
          <w:rFonts w:ascii="Book Antiqua" w:hAnsi="Book Antiqua" w:cs="Book Antiqua"/>
          <w:color w:val="000000"/>
          <w:spacing w:val="-2"/>
        </w:rPr>
      </w:pPr>
      <w:r>
        <w:rPr>
          <w:rFonts w:ascii="Book Antiqua" w:hAnsi="Book Antiqua" w:cs="Book Antiqua"/>
          <w:color w:val="000000"/>
          <w:spacing w:val="-2"/>
        </w:rPr>
        <w:lastRenderedPageBreak/>
        <w:t xml:space="preserve">- si l’option est organisée en plein exercice en 4ème année et en alternance en 5ème - 6ème ou uniquement en 6ème, la norme de création à atteindre est de 12 élèves, au 1er octobre, en 4ème année de l’option organisée en plein exercice </w:t>
      </w:r>
    </w:p>
    <w:p>
      <w:pPr>
        <w:pStyle w:val="niveau4"/>
        <w:ind w:left="709"/>
        <w:rPr>
          <w:spacing w:val="-2"/>
        </w:rPr>
      </w:pPr>
    </w:p>
    <w:p>
      <w:pPr>
        <w:pStyle w:val="niveau4"/>
        <w:ind w:left="709"/>
      </w:pPr>
      <w:bookmarkStart w:id="90" w:name="_Toc522700806"/>
      <w:r>
        <w:rPr>
          <w:spacing w:val="-2"/>
        </w:rPr>
        <w:t xml:space="preserve">4. </w:t>
      </w:r>
      <w:r>
        <w:t>Normes de création applicables aux langues modernes</w:t>
      </w:r>
      <w:bookmarkEnd w:id="90"/>
    </w:p>
    <w:p>
      <w:pPr>
        <w:tabs>
          <w:tab w:val="left" w:pos="3686"/>
        </w:tabs>
        <w:spacing w:after="240"/>
        <w:ind w:left="1134"/>
        <w:jc w:val="both"/>
        <w:rPr>
          <w:rFonts w:ascii="Book Antiqua" w:hAnsi="Book Antiqua" w:cs="Book Antiqua"/>
          <w:spacing w:val="-2"/>
        </w:rPr>
      </w:pPr>
      <w:r>
        <w:rPr>
          <w:rFonts w:ascii="Book Antiqua" w:hAnsi="Book Antiqua" w:cs="Book Antiqua"/>
          <w:color w:val="000000"/>
          <w:spacing w:val="-2"/>
        </w:rPr>
        <w:t xml:space="preserve">Les normes de création applicables aux langues modernes sont les mêmes que celles prévues pour l’enseignement secondaire de plein exercice </w:t>
      </w:r>
      <w:r>
        <w:rPr>
          <w:rFonts w:ascii="Book Antiqua" w:hAnsi="Book Antiqua" w:cs="Book Antiqua"/>
          <w:spacing w:val="-2"/>
        </w:rPr>
        <w:t>(voir tome 1 des Directives annuelles pour l’enseignement secondaire ordinaire de plein exercice, organisation, structures, encadrement ».).</w:t>
      </w:r>
    </w:p>
    <w:p>
      <w:pPr>
        <w:tabs>
          <w:tab w:val="left" w:pos="3686"/>
        </w:tabs>
        <w:spacing w:after="240"/>
        <w:ind w:left="1134"/>
        <w:jc w:val="both"/>
        <w:rPr>
          <w:rFonts w:ascii="Book Antiqua" w:hAnsi="Book Antiqua" w:cs="Book Antiqua"/>
          <w:color w:val="000000"/>
          <w:spacing w:val="-2"/>
        </w:rPr>
      </w:pPr>
    </w:p>
    <w:p>
      <w:pPr>
        <w:pStyle w:val="niveau4"/>
        <w:ind w:left="709"/>
      </w:pPr>
      <w:bookmarkStart w:id="91" w:name="_Toc522700807"/>
      <w:r>
        <w:rPr>
          <w:spacing w:val="-2"/>
        </w:rPr>
        <w:t xml:space="preserve">5. Normes </w:t>
      </w:r>
      <w:r>
        <w:t>de création applicables lors de l’ouverture d’un degré dans une forme et une section d’enseignement</w:t>
      </w:r>
      <w:bookmarkEnd w:id="91"/>
    </w:p>
    <w:p>
      <w:pPr>
        <w:spacing w:after="240"/>
        <w:ind w:left="1134"/>
        <w:jc w:val="both"/>
        <w:rPr>
          <w:rFonts w:ascii="Book Antiqua" w:hAnsi="Book Antiqua" w:cs="Book Antiqua"/>
          <w:color w:val="000000"/>
        </w:rPr>
      </w:pPr>
      <w:r>
        <w:rPr>
          <w:rFonts w:ascii="Book Antiqua" w:hAnsi="Book Antiqua" w:cs="Book Antiqua"/>
          <w:color w:val="000000"/>
        </w:rPr>
        <w:t>Lors de l’ouverture d’un nouveau degré dans une forme d’enseignement (technique ou professionnel) non encore organisé par un établissement, il est nécessaire de réunir la norme de création liée à l’orientation d’études ainsi que la norme de création liée au degré.</w:t>
      </w:r>
    </w:p>
    <w:p>
      <w:pPr>
        <w:pStyle w:val="Retraitcorpsdetexte"/>
        <w:ind w:left="1135" w:firstLine="0"/>
        <w:rPr>
          <w:rFonts w:ascii="Book Antiqua" w:hAnsi="Book Antiqua"/>
          <w:sz w:val="20"/>
          <w:szCs w:val="20"/>
        </w:rPr>
      </w:pPr>
      <w:r>
        <w:rPr>
          <w:rFonts w:ascii="Book Antiqua" w:hAnsi="Book Antiqua"/>
          <w:sz w:val="20"/>
          <w:szCs w:val="20"/>
        </w:rPr>
        <w:t>Les normes de création applicables lors de l’ouverture d’un degré dans une forme et une section d’enseignement sont les mêmes que celles prévues pour l’enseignement secondaire de plein exercice (voir tome 1 des Directives annuelles pour l’enseignement secondaire ordinaire de plein exercice, organisation, structures, encadrement ».</w:t>
      </w:r>
    </w:p>
    <w:p>
      <w:pPr>
        <w:pStyle w:val="Retraitcorpsdetexte"/>
        <w:ind w:left="1135" w:firstLine="0"/>
      </w:pPr>
    </w:p>
    <w:tbl>
      <w:tblPr>
        <w:tblW w:w="0" w:type="auto"/>
        <w:tblInd w:w="-5" w:type="dxa"/>
        <w:tblLayout w:type="fixed"/>
        <w:tblCellMar>
          <w:left w:w="70" w:type="dxa"/>
          <w:right w:w="70" w:type="dxa"/>
        </w:tblCellMar>
        <w:tblLook w:val="0000" w:firstRow="0" w:lastRow="0" w:firstColumn="0" w:lastColumn="0" w:noHBand="0" w:noVBand="0"/>
      </w:tblPr>
      <w:tblGrid>
        <w:gridCol w:w="2410"/>
        <w:gridCol w:w="2126"/>
        <w:gridCol w:w="2410"/>
        <w:gridCol w:w="2063"/>
      </w:tblGrid>
      <w:tr>
        <w:tc>
          <w:tcPr>
            <w:tcW w:w="2410" w:type="dxa"/>
            <w:tcBorders>
              <w:top w:val="single" w:sz="4" w:space="0" w:color="000000"/>
              <w:left w:val="single" w:sz="4" w:space="0" w:color="000000"/>
              <w:bottom w:val="single" w:sz="4" w:space="0" w:color="000000"/>
            </w:tcBorders>
          </w:tcPr>
          <w:p>
            <w:pPr>
              <w:snapToGrid w:val="0"/>
              <w:jc w:val="both"/>
              <w:rPr>
                <w:rFonts w:ascii="Book Antiqua" w:hAnsi="Book Antiqua" w:cs="Book Antiqua"/>
                <w:b/>
                <w:color w:val="000000"/>
                <w:spacing w:val="-2"/>
              </w:rPr>
            </w:pPr>
          </w:p>
        </w:tc>
        <w:tc>
          <w:tcPr>
            <w:tcW w:w="2126"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pacing w:val="-2"/>
              </w:rPr>
            </w:pPr>
            <w:r>
              <w:rPr>
                <w:rFonts w:ascii="Book Antiqua" w:hAnsi="Book Antiqua" w:cs="Book Antiqua"/>
                <w:b/>
                <w:color w:val="000000"/>
                <w:spacing w:val="-2"/>
              </w:rPr>
              <w:t>Règle générale</w:t>
            </w:r>
          </w:p>
        </w:tc>
        <w:tc>
          <w:tcPr>
            <w:tcW w:w="2410"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pacing w:val="-2"/>
              </w:rPr>
            </w:pPr>
            <w:r>
              <w:rPr>
                <w:rFonts w:ascii="Book Antiqua" w:hAnsi="Book Antiqua" w:cs="Book Antiqua"/>
                <w:b/>
                <w:color w:val="000000"/>
                <w:spacing w:val="-2"/>
              </w:rPr>
              <w:t>Libre-choix :</w:t>
            </w:r>
          </w:p>
          <w:p>
            <w:pPr>
              <w:jc w:val="center"/>
              <w:rPr>
                <w:rFonts w:ascii="Book Antiqua" w:hAnsi="Book Antiqua" w:cs="Book Antiqua"/>
                <w:b/>
                <w:color w:val="000000"/>
                <w:spacing w:val="-2"/>
              </w:rPr>
            </w:pPr>
            <w:r>
              <w:rPr>
                <w:rFonts w:ascii="Book Antiqua" w:hAnsi="Book Antiqua" w:cs="Book Antiqua"/>
                <w:b/>
                <w:color w:val="000000"/>
                <w:spacing w:val="-2"/>
              </w:rPr>
              <w:t>+ de 8 km si R ou S</w:t>
            </w:r>
          </w:p>
          <w:p>
            <w:pPr>
              <w:jc w:val="center"/>
              <w:rPr>
                <w:rFonts w:ascii="Book Antiqua" w:hAnsi="Book Antiqua" w:cs="Book Antiqua"/>
                <w:color w:val="000000"/>
                <w:spacing w:val="-2"/>
              </w:rPr>
            </w:pPr>
            <w:r>
              <w:rPr>
                <w:rFonts w:ascii="Book Antiqua" w:hAnsi="Book Antiqua" w:cs="Book Antiqua"/>
                <w:b/>
                <w:color w:val="000000"/>
                <w:spacing w:val="-2"/>
              </w:rPr>
              <w:t xml:space="preserve">+ de 12 km si N </w:t>
            </w:r>
            <w:r>
              <w:rPr>
                <w:rFonts w:ascii="Book Antiqua" w:hAnsi="Book Antiqua" w:cs="Book Antiqua"/>
                <w:color w:val="000000"/>
                <w:spacing w:val="-2"/>
              </w:rPr>
              <w:t>(1)</w:t>
            </w:r>
          </w:p>
        </w:tc>
        <w:tc>
          <w:tcPr>
            <w:tcW w:w="20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spacing w:val="-2"/>
              </w:rPr>
            </w:pPr>
            <w:r>
              <w:rPr>
                <w:rFonts w:ascii="Book Antiqua" w:hAnsi="Book Antiqua" w:cs="Book Antiqua"/>
                <w:b/>
                <w:color w:val="000000"/>
                <w:spacing w:val="-2"/>
              </w:rPr>
              <w:t xml:space="preserve">A + de 20 km </w:t>
            </w:r>
            <w:r>
              <w:rPr>
                <w:rFonts w:ascii="Book Antiqua" w:hAnsi="Book Antiqua" w:cs="Book Antiqua"/>
                <w:color w:val="000000"/>
                <w:spacing w:val="-2"/>
              </w:rPr>
              <w:t>(1)</w:t>
            </w:r>
          </w:p>
        </w:tc>
      </w:tr>
      <w:tr>
        <w:tc>
          <w:tcPr>
            <w:tcW w:w="2410" w:type="dxa"/>
            <w:tcBorders>
              <w:top w:val="single" w:sz="4" w:space="0" w:color="000000"/>
              <w:left w:val="single" w:sz="4" w:space="0" w:color="000000"/>
              <w:bottom w:val="single" w:sz="4" w:space="0" w:color="000000"/>
            </w:tcBorders>
          </w:tcPr>
          <w:p>
            <w:pPr>
              <w:snapToGrid w:val="0"/>
              <w:jc w:val="both"/>
              <w:rPr>
                <w:rFonts w:ascii="Book Antiqua" w:hAnsi="Book Antiqua" w:cs="Book Antiqua"/>
                <w:b/>
                <w:color w:val="000000"/>
                <w:spacing w:val="-2"/>
              </w:rPr>
            </w:pPr>
            <w:r>
              <w:rPr>
                <w:rFonts w:ascii="Book Antiqua" w:hAnsi="Book Antiqua" w:cs="Book Antiqua"/>
                <w:b/>
                <w:color w:val="000000"/>
                <w:spacing w:val="-2"/>
              </w:rPr>
              <w:t>3</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P</w:t>
            </w:r>
          </w:p>
        </w:tc>
        <w:tc>
          <w:tcPr>
            <w:tcW w:w="2126"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15</w:t>
            </w:r>
          </w:p>
        </w:tc>
        <w:tc>
          <w:tcPr>
            <w:tcW w:w="2410"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12</w:t>
            </w:r>
          </w:p>
        </w:tc>
        <w:tc>
          <w:tcPr>
            <w:tcW w:w="20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10</w:t>
            </w:r>
          </w:p>
        </w:tc>
      </w:tr>
      <w:tr>
        <w:tc>
          <w:tcPr>
            <w:tcW w:w="2410" w:type="dxa"/>
            <w:tcBorders>
              <w:top w:val="single" w:sz="4" w:space="0" w:color="000000"/>
              <w:left w:val="single" w:sz="4" w:space="0" w:color="000000"/>
              <w:bottom w:val="single" w:sz="4" w:space="0" w:color="000000"/>
            </w:tcBorders>
          </w:tcPr>
          <w:p>
            <w:pPr>
              <w:snapToGrid w:val="0"/>
              <w:jc w:val="both"/>
              <w:rPr>
                <w:rFonts w:ascii="Book Antiqua" w:hAnsi="Book Antiqua" w:cs="Book Antiqua"/>
                <w:b/>
                <w:color w:val="000000"/>
                <w:spacing w:val="-2"/>
              </w:rPr>
            </w:pPr>
            <w:r>
              <w:rPr>
                <w:rFonts w:ascii="Book Antiqua" w:hAnsi="Book Antiqua" w:cs="Book Antiqua"/>
                <w:b/>
                <w:color w:val="000000"/>
                <w:spacing w:val="-2"/>
              </w:rPr>
              <w:t>5</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w:t>
            </w:r>
            <w:proofErr w:type="spellStart"/>
            <w:r>
              <w:rPr>
                <w:rFonts w:ascii="Book Antiqua" w:hAnsi="Book Antiqua" w:cs="Book Antiqua"/>
                <w:b/>
                <w:color w:val="000000"/>
                <w:spacing w:val="-2"/>
              </w:rPr>
              <w:t>TQual</w:t>
            </w:r>
            <w:proofErr w:type="spellEnd"/>
            <w:r>
              <w:rPr>
                <w:rFonts w:ascii="Book Antiqua" w:hAnsi="Book Antiqua" w:cs="Book Antiqua"/>
                <w:b/>
                <w:color w:val="000000"/>
                <w:spacing w:val="-2"/>
              </w:rPr>
              <w:t>/</w:t>
            </w:r>
            <w:proofErr w:type="spellStart"/>
            <w:r>
              <w:rPr>
                <w:rFonts w:ascii="Book Antiqua" w:hAnsi="Book Antiqua" w:cs="Book Antiqua"/>
                <w:b/>
                <w:color w:val="000000"/>
                <w:spacing w:val="-2"/>
              </w:rPr>
              <w:t>Art.Qual</w:t>
            </w:r>
            <w:proofErr w:type="spellEnd"/>
          </w:p>
        </w:tc>
        <w:tc>
          <w:tcPr>
            <w:tcW w:w="2126"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12</w:t>
            </w:r>
          </w:p>
        </w:tc>
        <w:tc>
          <w:tcPr>
            <w:tcW w:w="2410"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9</w:t>
            </w:r>
          </w:p>
        </w:tc>
        <w:tc>
          <w:tcPr>
            <w:tcW w:w="20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8</w:t>
            </w:r>
          </w:p>
        </w:tc>
      </w:tr>
      <w:tr>
        <w:tc>
          <w:tcPr>
            <w:tcW w:w="2410" w:type="dxa"/>
            <w:tcBorders>
              <w:top w:val="single" w:sz="4" w:space="0" w:color="000000"/>
              <w:left w:val="single" w:sz="4" w:space="0" w:color="000000"/>
              <w:bottom w:val="single" w:sz="4" w:space="0" w:color="000000"/>
            </w:tcBorders>
          </w:tcPr>
          <w:p>
            <w:pPr>
              <w:snapToGrid w:val="0"/>
              <w:jc w:val="both"/>
              <w:rPr>
                <w:rFonts w:ascii="Book Antiqua" w:hAnsi="Book Antiqua" w:cs="Book Antiqua"/>
                <w:b/>
                <w:color w:val="000000"/>
                <w:spacing w:val="-2"/>
              </w:rPr>
            </w:pPr>
            <w:r>
              <w:rPr>
                <w:rFonts w:ascii="Book Antiqua" w:hAnsi="Book Antiqua" w:cs="Book Antiqua"/>
                <w:b/>
                <w:color w:val="000000"/>
                <w:spacing w:val="-2"/>
              </w:rPr>
              <w:t>5</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P</w:t>
            </w:r>
          </w:p>
        </w:tc>
        <w:tc>
          <w:tcPr>
            <w:tcW w:w="2126"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12</w:t>
            </w:r>
          </w:p>
        </w:tc>
        <w:tc>
          <w:tcPr>
            <w:tcW w:w="2410"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9</w:t>
            </w:r>
          </w:p>
        </w:tc>
        <w:tc>
          <w:tcPr>
            <w:tcW w:w="20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8</w:t>
            </w:r>
          </w:p>
        </w:tc>
      </w:tr>
    </w:tbl>
    <w:p>
      <w:pPr>
        <w:ind w:left="709"/>
        <w:jc w:val="both"/>
      </w:pPr>
    </w:p>
    <w:p>
      <w:pPr>
        <w:numPr>
          <w:ilvl w:val="0"/>
          <w:numId w:val="19"/>
        </w:numPr>
        <w:tabs>
          <w:tab w:val="clear" w:pos="1761"/>
          <w:tab w:val="num" w:pos="2470"/>
        </w:tabs>
        <w:spacing w:after="120"/>
        <w:ind w:left="1560"/>
        <w:jc w:val="both"/>
        <w:rPr>
          <w:rFonts w:ascii="Book Antiqua" w:hAnsi="Book Antiqua" w:cs="Book Antiqua"/>
          <w:bCs/>
          <w:color w:val="000000"/>
          <w:spacing w:val="-2"/>
        </w:rPr>
      </w:pPr>
      <w:r>
        <w:rPr>
          <w:rFonts w:ascii="Book Antiqua" w:hAnsi="Book Antiqua" w:cs="Book Antiqua"/>
          <w:bCs/>
          <w:color w:val="000000"/>
          <w:spacing w:val="-2"/>
        </w:rPr>
        <w:t>Les distances de 8,12 et 20 km indiquent l’éloignement par rapport à l’établissement de même caractère le plus proche organisant le même degré dans la même forme d’enseignement</w:t>
      </w:r>
      <w:r>
        <w:rPr>
          <w:rStyle w:val="Caractresdenotedebasdepage"/>
          <w:rFonts w:ascii="Book Antiqua" w:hAnsi="Book Antiqua" w:cs="Book Antiqua"/>
          <w:bCs/>
          <w:color w:val="000000"/>
          <w:spacing w:val="-2"/>
        </w:rPr>
        <w:footnoteReference w:id="186"/>
      </w:r>
      <w:r>
        <w:rPr>
          <w:rFonts w:ascii="Book Antiqua" w:hAnsi="Book Antiqua" w:cs="Book Antiqua"/>
          <w:bCs/>
          <w:color w:val="000000"/>
          <w:spacing w:val="-2"/>
        </w:rPr>
        <w:t xml:space="preserve">. </w:t>
      </w:r>
    </w:p>
    <w:p>
      <w:pPr>
        <w:ind w:left="1560" w:firstLine="564"/>
        <w:jc w:val="both"/>
        <w:rPr>
          <w:rFonts w:ascii="Book Antiqua" w:hAnsi="Book Antiqua" w:cs="Book Antiqua"/>
          <w:bCs/>
          <w:color w:val="000000"/>
          <w:spacing w:val="-2"/>
        </w:rPr>
      </w:pPr>
      <w:r>
        <w:rPr>
          <w:rFonts w:ascii="Book Antiqua" w:hAnsi="Book Antiqua" w:cs="Book Antiqua"/>
          <w:bCs/>
          <w:color w:val="000000"/>
          <w:spacing w:val="-2"/>
        </w:rPr>
        <w:t>R = rural : moins de 125 habitants au km</w:t>
      </w:r>
      <w:r>
        <w:rPr>
          <w:rFonts w:ascii="Book Antiqua" w:hAnsi="Book Antiqua" w:cs="Book Antiqua"/>
          <w:bCs/>
          <w:color w:val="000000"/>
          <w:spacing w:val="-2"/>
          <w:vertAlign w:val="superscript"/>
        </w:rPr>
        <w:t>2</w:t>
      </w:r>
      <w:r>
        <w:rPr>
          <w:rFonts w:ascii="Book Antiqua" w:hAnsi="Book Antiqua" w:cs="Book Antiqua"/>
          <w:bCs/>
          <w:color w:val="000000"/>
          <w:spacing w:val="-2"/>
        </w:rPr>
        <w:t> ;</w:t>
      </w:r>
    </w:p>
    <w:p>
      <w:pPr>
        <w:ind w:left="1416" w:firstLine="708"/>
        <w:jc w:val="both"/>
        <w:rPr>
          <w:rFonts w:ascii="Book Antiqua" w:hAnsi="Book Antiqua" w:cs="Book Antiqua"/>
          <w:bCs/>
          <w:color w:val="000000"/>
          <w:spacing w:val="-2"/>
        </w:rPr>
      </w:pPr>
      <w:r>
        <w:rPr>
          <w:rFonts w:ascii="Book Antiqua" w:hAnsi="Book Antiqua" w:cs="Book Antiqua"/>
          <w:bCs/>
          <w:color w:val="000000"/>
          <w:spacing w:val="-2"/>
        </w:rPr>
        <w:t>S = semi-rural : moins de 250 habitants au km</w:t>
      </w:r>
      <w:r>
        <w:rPr>
          <w:rFonts w:ascii="Book Antiqua" w:hAnsi="Book Antiqua" w:cs="Book Antiqua"/>
          <w:bCs/>
          <w:color w:val="000000"/>
          <w:spacing w:val="-2"/>
          <w:vertAlign w:val="superscript"/>
        </w:rPr>
        <w:t>2</w:t>
      </w:r>
      <w:r>
        <w:rPr>
          <w:rFonts w:ascii="Book Antiqua" w:hAnsi="Book Antiqua" w:cs="Book Antiqua"/>
          <w:bCs/>
          <w:color w:val="000000"/>
          <w:spacing w:val="-2"/>
        </w:rPr>
        <w:t> ;</w:t>
      </w:r>
    </w:p>
    <w:p>
      <w:pPr>
        <w:spacing w:after="240"/>
        <w:ind w:left="1416" w:firstLine="708"/>
        <w:jc w:val="both"/>
        <w:rPr>
          <w:rFonts w:ascii="Book Antiqua" w:hAnsi="Book Antiqua" w:cs="Book Antiqua"/>
          <w:bCs/>
          <w:color w:val="000000"/>
          <w:spacing w:val="-2"/>
        </w:rPr>
      </w:pPr>
      <w:r>
        <w:rPr>
          <w:rFonts w:ascii="Book Antiqua" w:hAnsi="Book Antiqua" w:cs="Book Antiqua"/>
          <w:bCs/>
          <w:color w:val="000000"/>
          <w:spacing w:val="-2"/>
        </w:rPr>
        <w:t>N = ordinaire : au moins 250 habitants au km</w:t>
      </w:r>
      <w:r>
        <w:rPr>
          <w:rFonts w:ascii="Book Antiqua" w:hAnsi="Book Antiqua" w:cs="Book Antiqua"/>
          <w:bCs/>
          <w:color w:val="000000"/>
          <w:spacing w:val="-2"/>
          <w:vertAlign w:val="superscript"/>
        </w:rPr>
        <w:t>2</w:t>
      </w:r>
      <w:r>
        <w:rPr>
          <w:rFonts w:ascii="Book Antiqua" w:hAnsi="Book Antiqua" w:cs="Book Antiqua"/>
          <w:bCs/>
          <w:color w:val="000000"/>
          <w:spacing w:val="-2"/>
        </w:rPr>
        <w:t>.</w:t>
      </w:r>
    </w:p>
    <w:p>
      <w:pPr>
        <w:spacing w:after="240"/>
        <w:jc w:val="both"/>
        <w:rPr>
          <w:rFonts w:ascii="Book Antiqua" w:hAnsi="Book Antiqua" w:cs="Book Antiqua"/>
          <w:bCs/>
          <w:color w:val="000000"/>
          <w:spacing w:val="-2"/>
        </w:rPr>
      </w:pPr>
    </w:p>
    <w:p>
      <w:pPr>
        <w:pStyle w:val="niveau3"/>
        <w:ind w:left="709"/>
        <w:rPr>
          <w:rStyle w:val="niveau3Car"/>
          <w:bCs/>
          <w:color w:val="000000"/>
          <w:spacing w:val="-2"/>
        </w:rPr>
      </w:pPr>
      <w:r>
        <w:rPr>
          <w:rStyle w:val="niveau3Car"/>
          <w:bCs/>
          <w:color w:val="000000"/>
          <w:spacing w:val="-2"/>
        </w:rPr>
        <w:br w:type="page"/>
      </w:r>
      <w:bookmarkStart w:id="92" w:name="_Toc522700808"/>
      <w:r>
        <w:rPr>
          <w:rStyle w:val="niveau3Car"/>
          <w:b/>
          <w:bCs/>
          <w:color w:val="000000"/>
          <w:spacing w:val="-2"/>
        </w:rPr>
        <w:lastRenderedPageBreak/>
        <w:t>IV.</w:t>
      </w:r>
      <w:r>
        <w:rPr>
          <w:rStyle w:val="niveau3Car"/>
          <w:bCs/>
          <w:color w:val="000000"/>
          <w:spacing w:val="-2"/>
        </w:rPr>
        <w:t xml:space="preserve"> </w:t>
      </w:r>
      <w:r>
        <w:rPr>
          <w:rStyle w:val="niveau3Car"/>
          <w:b/>
          <w:bCs/>
          <w:color w:val="000000"/>
          <w:spacing w:val="-2"/>
          <w:u w:val="single"/>
        </w:rPr>
        <w:t>LISTE DES OPTIONS DE BASE GROUPEES</w:t>
      </w:r>
      <w:bookmarkEnd w:id="92"/>
    </w:p>
    <w:p>
      <w:pPr>
        <w:pStyle w:val="niveau4"/>
        <w:ind w:left="709"/>
      </w:pPr>
      <w:bookmarkStart w:id="93" w:name="_Toc522700809"/>
      <w:r>
        <w:t>1</w:t>
      </w:r>
      <w:r>
        <w:rPr>
          <w:rFonts w:cs="Book Antiqua"/>
          <w:color w:val="000000"/>
          <w:spacing w:val="-2"/>
        </w:rPr>
        <w:t xml:space="preserve">. Répertoire des options article 45 du décret </w:t>
      </w:r>
      <w:r>
        <w:t>« Missions »</w:t>
      </w:r>
      <w:bookmarkEnd w:id="93"/>
    </w:p>
    <w:p>
      <w:pPr>
        <w:ind w:left="1418"/>
        <w:rPr>
          <w:rFonts w:ascii="Book Antiqua" w:hAnsi="Book Antiqua" w:cs="Book Antiqua"/>
          <w:color w:val="000000"/>
        </w:rPr>
      </w:pPr>
    </w:p>
    <w:tbl>
      <w:tblPr>
        <w:tblW w:w="0" w:type="auto"/>
        <w:tblInd w:w="758" w:type="dxa"/>
        <w:tblLayout w:type="fixed"/>
        <w:tblCellMar>
          <w:left w:w="54" w:type="dxa"/>
          <w:right w:w="54" w:type="dxa"/>
        </w:tblCellMar>
        <w:tblLook w:val="0000" w:firstRow="0" w:lastRow="0" w:firstColumn="0" w:lastColumn="0" w:noHBand="0" w:noVBand="0"/>
      </w:tblPr>
      <w:tblGrid>
        <w:gridCol w:w="709"/>
        <w:gridCol w:w="8231"/>
        <w:gridCol w:w="20"/>
      </w:tblGrid>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b/>
                <w:color w:val="000000"/>
              </w:rPr>
            </w:pPr>
            <w:r>
              <w:rPr>
                <w:rFonts w:ascii="Book Antiqua" w:hAnsi="Book Antiqua" w:cs="Book Antiqua"/>
                <w:b/>
                <w:color w:val="000000"/>
              </w:rPr>
              <w:t xml:space="preserve">CODE </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1 « AGRONOMIE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1017</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Eleveur/Eleveuse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1019</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proofErr w:type="spellStart"/>
            <w:r>
              <w:rPr>
                <w:rFonts w:ascii="Book Antiqua" w:hAnsi="Book Antiqua" w:cs="Times New Roman"/>
                <w:color w:val="000000"/>
              </w:rPr>
              <w:t>Polyculteur</w:t>
            </w:r>
            <w:proofErr w:type="spellEnd"/>
            <w:r>
              <w:rPr>
                <w:rFonts w:ascii="Book Antiqua" w:hAnsi="Book Antiqua" w:cs="Times New Roman"/>
                <w:color w:val="000000"/>
              </w:rPr>
              <w:t>/</w:t>
            </w:r>
            <w:proofErr w:type="spellStart"/>
            <w:r>
              <w:rPr>
                <w:rFonts w:ascii="Book Antiqua" w:hAnsi="Book Antiqua" w:cs="Times New Roman"/>
                <w:color w:val="000000"/>
              </w:rPr>
              <w:t>Polycultrice</w:t>
            </w:r>
            <w:proofErr w:type="spellEnd"/>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1018</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Groom-lad</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1023</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Jardinier/Jardinière d’entretien (CPU)</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1024</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Jardinier/Jardinière d’aménagement (CPU)</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cultures florales et ornementales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cultures maraîchères sous abri et de plein champ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1009</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exploitation horticole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fruiticulture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1001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implantation et entretien des parcs et jardins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1005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pépinières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Palefrenier/Palefrenière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1015</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Ouvrier forestier/Ouvrière forestière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Maréchal-ferrant/</w:t>
            </w:r>
            <w:proofErr w:type="spellStart"/>
            <w:r>
              <w:rPr>
                <w:rFonts w:ascii="Book Antiqua" w:hAnsi="Book Antiqua" w:cs="Book Antiqua"/>
                <w:color w:val="000000"/>
              </w:rPr>
              <w:t>Maréchale-ferrante</w:t>
            </w:r>
            <w:proofErr w:type="spellEnd"/>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2 « INDUSTRIE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Aide-électricien/Aide-électricienne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Ferronnier/Ferronnière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Manutentionnaire-cariste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Métallier/Métallière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Monteur de pneus – aligneur / Monteuse de pneus – aligneuse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Peintre en carrosserie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Tôlier/Tôlière en carrosserie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Aide-mécanicien garagiste/Aide-mécanicienne garagiste </w:t>
            </w:r>
          </w:p>
        </w:tc>
      </w:tr>
      <w:tr>
        <w:trPr>
          <w:gridAfter w:val="1"/>
          <w:wAfter w:w="20" w:type="dxa"/>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2006</w:t>
            </w:r>
          </w:p>
        </w:tc>
        <w:tc>
          <w:tcPr>
            <w:tcW w:w="8231"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Aide-mécanicien cycles et petits moteurs / Aide-mécanicienne cycles et petits moteurs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2013</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Matelot/Matelote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2016</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Préparateur/Préparatrice de travaux de peinture en carrosserie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2024</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Opérateur/Opératrice de production en industrie alimentaire (OPIA)</w:t>
            </w:r>
            <w:r>
              <w:rPr>
                <w:rStyle w:val="Appelnotedebasdep"/>
                <w:rFonts w:ascii="Book Antiqua" w:hAnsi="Book Antiqua"/>
                <w:color w:val="000000"/>
              </w:rPr>
              <w:t xml:space="preserve"> </w:t>
            </w:r>
            <w:r>
              <w:rPr>
                <w:rFonts w:ascii="Book Antiqua" w:hAnsi="Book Antiqua" w:cs="Times New Roman"/>
                <w:color w:val="000000"/>
              </w:rPr>
              <w:t>(CPU)</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3 « CONSTRUCTION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Bétonneur/Bétonneuse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3019</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Chapiste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3038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Chapiste </w:t>
            </w:r>
            <w:r>
              <w:rPr>
                <w:rFonts w:ascii="Book Antiqua" w:hAnsi="Book Antiqua"/>
                <w:color w:val="000000"/>
              </w:rPr>
              <w:t>(CPU)</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Coffreur/Coffreuse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3007</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Ferrailleur/Ferrailleuse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Maçon/Maçonne </w:t>
            </w:r>
            <w:r>
              <w:rPr>
                <w:rStyle w:val="Appelnotedebasdep"/>
                <w:rFonts w:ascii="Book Antiqua" w:hAnsi="Book Antiqua"/>
                <w:color w:val="000000"/>
              </w:rPr>
              <w:footnoteReference w:id="187"/>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Paveur/Paveuse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proofErr w:type="spellStart"/>
            <w:r>
              <w:rPr>
                <w:rFonts w:ascii="Book Antiqua" w:hAnsi="Book Antiqua" w:cs="Book Antiqua"/>
                <w:color w:val="000000"/>
              </w:rPr>
              <w:t>Voiriste</w:t>
            </w:r>
            <w:proofErr w:type="spellEnd"/>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3001</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Monteur/Monteuse en sanitaire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Monteur/Monteuse en chauffage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3025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Monteur-placeur d’éléments menuisés / Monteuse-placeuse d’éléments menuisés</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3037</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Carreleur / Carreleuse </w:t>
            </w:r>
            <w:r>
              <w:rPr>
                <w:rFonts w:ascii="Book Antiqua" w:hAnsi="Book Antiqua"/>
                <w:color w:val="000000"/>
              </w:rPr>
              <w:t>(CPU)</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3022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 plafonneur/Ouvrière plafonneuse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3026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Poseur/Poseuse de couvertures non métalliques</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3028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en peinture du bâtiment</w:t>
            </w:r>
          </w:p>
        </w:tc>
      </w:tr>
      <w:t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3013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en entretien du bâtiment et de son environnement</w:t>
            </w:r>
          </w:p>
        </w:tc>
      </w:tr>
      <w:t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3034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Jointoyeur– ravaleur /Jointoyeuse-ravaleuse de façade</w:t>
            </w:r>
          </w:p>
        </w:tc>
      </w:tr>
      <w:t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3035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de scierie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3032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poseur/poseuse de faux plafonds, cloisons et planchers surélevés</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3036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poseur/poseuse de revêtements souples de sol</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lastRenderedPageBreak/>
              <w:t>3033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tailleur/tailleuse de pierres naturelles </w:t>
            </w:r>
          </w:p>
          <w:p>
            <w:pPr>
              <w:widowControl w:val="0"/>
              <w:snapToGrid w:val="0"/>
              <w:rPr>
                <w:rFonts w:ascii="Book Antiqua" w:hAnsi="Book Antiqua" w:cs="Book Antiqua"/>
                <w:color w:val="000000"/>
              </w:rPr>
            </w:pPr>
          </w:p>
          <w:p>
            <w:pPr>
              <w:widowControl w:val="0"/>
              <w:snapToGrid w:val="0"/>
              <w:rPr>
                <w:rFonts w:ascii="Book Antiqua" w:hAnsi="Book Antiqua" w:cs="Book Antiqua"/>
                <w:color w:val="000000"/>
              </w:rPr>
            </w:pP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4 « HOTELLERIE-ALIMENTATION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4001</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Commis/Commise  de cuisine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Commis/Commise de salle </w:t>
            </w:r>
          </w:p>
        </w:tc>
      </w:tr>
      <w:tr>
        <w:tc>
          <w:tcPr>
            <w:tcW w:w="709" w:type="dxa"/>
            <w:tcBorders>
              <w:top w:val="single" w:sz="4" w:space="0" w:color="auto"/>
              <w:left w:val="single" w:sz="4" w:space="0" w:color="auto"/>
              <w:bottom w:val="single" w:sz="4" w:space="0" w:color="auto"/>
              <w:right w:val="single" w:sz="4" w:space="0" w:color="auto"/>
            </w:tcBorders>
            <w:vAlign w:val="center"/>
          </w:tcPr>
          <w:p>
            <w:pPr>
              <w:widowControl w:val="0"/>
              <w:snapToGrid w:val="0"/>
              <w:rPr>
                <w:rFonts w:ascii="Book Antiqua" w:hAnsi="Book Antiqua" w:cs="Book Antiqua"/>
                <w:color w:val="000000"/>
              </w:rPr>
            </w:pPr>
            <w:r>
              <w:rPr>
                <w:rFonts w:ascii="Book Antiqua" w:hAnsi="Book Antiqua" w:cs="Book Antiqua"/>
                <w:color w:val="000000"/>
              </w:rPr>
              <w:t>4010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Préparateur/préparatrice en boucherie – Vendeur/vendeuse en boucherie-charcuterie et plats préparés à emporter</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4004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Découpeur – désosseur/Découpeuse – désosseuse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4011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Commis(e) de cuisine de collectivité</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4012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Garçon / Serveuse de restaurant </w:t>
            </w:r>
            <w:r>
              <w:rPr>
                <w:rFonts w:ascii="Book Antiqua" w:hAnsi="Book Antiqua"/>
                <w:color w:val="000000"/>
              </w:rPr>
              <w:t>(CPU)</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4013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Agent / Agente de fabrication du secteur alimentaire (AFA)</w:t>
            </w:r>
            <w:r>
              <w:rPr>
                <w:rStyle w:val="Appelnotedebasdep"/>
                <w:rFonts w:ascii="Book Antiqua" w:hAnsi="Book Antiqua"/>
                <w:color w:val="000000"/>
              </w:rPr>
              <w:t xml:space="preserve"> </w:t>
            </w:r>
            <w:r>
              <w:rPr>
                <w:rFonts w:ascii="Book Antiqua" w:hAnsi="Book Antiqua"/>
                <w:color w:val="000000"/>
              </w:rPr>
              <w:t>(CPU)</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5 « HABILLEMENT ET TEXTILE»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Cordonnier/Cordonnière </w:t>
            </w:r>
          </w:p>
        </w:tc>
      </w:tr>
      <w:t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Nettoyeur/Nettoyeuse d’étoffe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5015</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Tisserand/Tisserande </w:t>
            </w:r>
          </w:p>
        </w:tc>
      </w:tr>
      <w:tr>
        <w:trPr>
          <w:trHeight w:val="224"/>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5009</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Ourdisseur/Ourdisseuse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 maroquinier/Ouvrière maroquinière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5017</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Rentreur - Noueur/Rentreuse – Noueuse </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5018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Visiteur/Visiteuse d’étoffe </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5020</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Ouvrier retoucheur/Ouvrière retoucheuse</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5021</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Piqueur polyvalent/Piqueuse polyvalente </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5013</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Repasseur Finisseur/Repasseuse Finisseuse</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5016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Opérateur/Opératrice en production de confection</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6 « ARTS APPLIQUES »</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6003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both"/>
              <w:rPr>
                <w:rFonts w:ascii="Book Antiqua" w:hAnsi="Book Antiqua" w:cs="Book Antiqua"/>
                <w:color w:val="000000"/>
              </w:rPr>
            </w:pPr>
            <w:r>
              <w:rPr>
                <w:rFonts w:ascii="Book Antiqua" w:hAnsi="Book Antiqua" w:cs="Book Antiqua"/>
                <w:color w:val="000000"/>
              </w:rPr>
              <w:t>Assistant/Assistante de décorateur d’ameublement</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6004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both"/>
              <w:rPr>
                <w:rFonts w:ascii="Book Antiqua" w:hAnsi="Book Antiqua" w:cs="Book Antiqua"/>
                <w:color w:val="000000"/>
              </w:rPr>
            </w:pPr>
            <w:r>
              <w:rPr>
                <w:rFonts w:ascii="Book Antiqua" w:hAnsi="Book Antiqua" w:cs="Book Antiqua"/>
                <w:color w:val="000000"/>
              </w:rPr>
              <w:t>Ouvrier/Ouvrière en sérigraphie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7 « ECONOMIE »</w:t>
            </w:r>
          </w:p>
        </w:tc>
      </w:tr>
      <w:tr>
        <w:trPr>
          <w:trHeight w:val="219"/>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7001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Auxiliaire de magasin </w:t>
            </w:r>
          </w:p>
        </w:tc>
      </w:tr>
      <w:tr>
        <w:trPr>
          <w:trHeight w:val="219"/>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7004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Equipier/Equipière logistique</w:t>
            </w:r>
          </w:p>
        </w:tc>
      </w:tr>
      <w:tr>
        <w:trPr>
          <w:trHeight w:val="219"/>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7008</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Encodeur/Encodeuse de données</w:t>
            </w:r>
          </w:p>
        </w:tc>
      </w:tr>
      <w:tr>
        <w:trPr>
          <w:trHeight w:val="219"/>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7005</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Assistant/Assistante de réception – téléphoniste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8 « SERVICES AUX PERSONNES »</w:t>
            </w:r>
          </w:p>
        </w:tc>
      </w:tr>
      <w:tr>
        <w:trPr>
          <w:trHeight w:val="240"/>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Aide ménager/</w:t>
            </w:r>
            <w:proofErr w:type="spellStart"/>
            <w:r>
              <w:rPr>
                <w:rFonts w:ascii="Book Antiqua" w:hAnsi="Book Antiqua" w:cs="Book Antiqua"/>
                <w:color w:val="000000"/>
              </w:rPr>
              <w:t>Aide ménagère</w:t>
            </w:r>
            <w:proofErr w:type="spellEnd"/>
            <w:r>
              <w:rPr>
                <w:rFonts w:ascii="Book Antiqua" w:hAnsi="Book Antiqua" w:cs="Book Antiqua"/>
                <w:color w:val="000000"/>
              </w:rPr>
              <w:t xml:space="preserve"> </w:t>
            </w:r>
          </w:p>
        </w:tc>
      </w:tr>
      <w:tr>
        <w:trPr>
          <w:trHeight w:val="151"/>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8006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blanchisserie - nettoyage à sec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8007</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Surveillant équipier/Surveillante équipière en logistique sportive </w:t>
            </w:r>
          </w:p>
        </w:tc>
      </w:tr>
      <w:tr>
        <w:trPr>
          <w:trHeight w:val="193"/>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8008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Technicien de surface – Nettoyeur/Technicienne de surface – Nettoyeuse </w:t>
            </w:r>
          </w:p>
        </w:tc>
      </w:tr>
      <w:tr>
        <w:trPr>
          <w:trHeight w:val="193"/>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Aide logistique en collectivité</w:t>
            </w:r>
          </w:p>
        </w:tc>
      </w:tr>
      <w:tr>
        <w:trPr>
          <w:trHeight w:val="193"/>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9 « SCIENCES APPLIQUEES »</w:t>
            </w:r>
          </w:p>
        </w:tc>
      </w:tr>
      <w:tr>
        <w:trPr>
          <w:trHeight w:val="193"/>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9002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both"/>
              <w:rPr>
                <w:rFonts w:ascii="Book Antiqua" w:hAnsi="Book Antiqua" w:cs="Book Antiqua"/>
                <w:color w:val="000000"/>
              </w:rPr>
            </w:pPr>
            <w:r>
              <w:rPr>
                <w:rFonts w:ascii="Book Antiqua" w:hAnsi="Book Antiqua" w:cs="Book Antiqua"/>
                <w:color w:val="000000"/>
              </w:rPr>
              <w:t>Assistant opérateur/Assistante opératrice des industries agroalimentaires</w:t>
            </w:r>
          </w:p>
        </w:tc>
      </w:tr>
    </w:tbl>
    <w:p>
      <w:pPr>
        <w:tabs>
          <w:tab w:val="left" w:pos="709"/>
          <w:tab w:val="left" w:pos="1082"/>
          <w:tab w:val="left" w:pos="1315"/>
          <w:tab w:val="left" w:pos="1594"/>
          <w:tab w:val="left" w:pos="1752"/>
          <w:tab w:val="left" w:pos="1922"/>
          <w:tab w:val="left" w:pos="5335"/>
        </w:tabs>
        <w:ind w:left="709"/>
        <w:jc w:val="both"/>
        <w:rPr>
          <w:rFonts w:ascii="Book Antiqua" w:hAnsi="Book Antiqua" w:cs="Book Antiqua"/>
          <w:color w:val="000000"/>
          <w:spacing w:val="-2"/>
        </w:rPr>
      </w:pPr>
    </w:p>
    <w:p>
      <w:pPr>
        <w:pStyle w:val="niveau4"/>
        <w:pageBreakBefore/>
        <w:ind w:left="709"/>
      </w:pPr>
      <w:bookmarkStart w:id="94" w:name="_Toc522700810"/>
      <w:r>
        <w:lastRenderedPageBreak/>
        <w:t>2. Formations qui, ne correspondant pas à un profil de formation spécifique, sont organisées en urgence</w:t>
      </w:r>
      <w:bookmarkEnd w:id="94"/>
    </w:p>
    <w:p>
      <w:pPr>
        <w:spacing w:after="240"/>
        <w:ind w:left="1134"/>
        <w:jc w:val="both"/>
        <w:rPr>
          <w:rFonts w:ascii="Book Antiqua" w:hAnsi="Book Antiqua" w:cs="Book Antiqua"/>
          <w:i/>
          <w:color w:val="000000"/>
        </w:rPr>
      </w:pPr>
      <w:r>
        <w:rPr>
          <w:rFonts w:ascii="Book Antiqua" w:hAnsi="Book Antiqua" w:cs="Book Antiqua"/>
          <w:color w:val="000000"/>
        </w:rPr>
        <w:t xml:space="preserve">En cas d’urgence, le Ministre peut autoriser l’organisation d’une formation qui ne correspond pas à un profil de formation dit « article 45 ». </w:t>
      </w:r>
      <w:r>
        <w:rPr>
          <w:rStyle w:val="Caractresdenotedebasdepage"/>
          <w:rFonts w:ascii="Book Antiqua" w:hAnsi="Book Antiqua" w:cs="Book Antiqua"/>
          <w:color w:val="000000"/>
        </w:rPr>
        <w:footnoteReference w:id="188"/>
      </w:r>
    </w:p>
    <w:p>
      <w:pPr>
        <w:spacing w:after="60"/>
        <w:ind w:left="1135"/>
        <w:jc w:val="both"/>
        <w:rPr>
          <w:rFonts w:ascii="Book Antiqua" w:hAnsi="Book Antiqua" w:cs="Book Antiqua"/>
          <w:color w:val="000000"/>
        </w:rPr>
      </w:pPr>
      <w:r>
        <w:rPr>
          <w:rFonts w:ascii="Book Antiqua" w:hAnsi="Book Antiqua" w:cs="Book Antiqua"/>
          <w:i/>
          <w:color w:val="000000"/>
        </w:rPr>
        <w:t>Pour le réseau d’enseignement organisé par la</w:t>
      </w:r>
      <w:r>
        <w:rPr>
          <w:rFonts w:ascii="Book Antiqua" w:hAnsi="Book Antiqua" w:cs="Book Antiqua"/>
          <w:color w:val="000000"/>
          <w:spacing w:val="-4"/>
        </w:rPr>
        <w:t xml:space="preserve"> </w:t>
      </w:r>
      <w:r>
        <w:rPr>
          <w:rFonts w:ascii="Book Antiqua" w:hAnsi="Book Antiqua" w:cs="Book Antiqua"/>
          <w:i/>
          <w:color w:val="000000"/>
          <w:spacing w:val="-4"/>
        </w:rPr>
        <w:t>Fédération Wallonie-Bruxelles</w:t>
      </w:r>
      <w:r>
        <w:rPr>
          <w:rFonts w:ascii="Book Antiqua" w:hAnsi="Book Antiqua" w:cs="Book Antiqua"/>
          <w:color w:val="000000"/>
        </w:rPr>
        <w:t>, les demandes sont introduites au minimum 1 mois avant l’ouverture de la formation auprès du Service général de l’enseignement organisé par la</w:t>
      </w:r>
      <w:r>
        <w:rPr>
          <w:rFonts w:ascii="Book Antiqua" w:hAnsi="Book Antiqua" w:cs="Book Antiqua"/>
          <w:color w:val="000000"/>
          <w:spacing w:val="-4"/>
        </w:rPr>
        <w:t xml:space="preserve"> Fédération Wallonie-Bruxelles</w:t>
      </w:r>
      <w:r>
        <w:rPr>
          <w:rFonts w:ascii="Book Antiqua" w:hAnsi="Book Antiqua" w:cs="Book Antiqua"/>
          <w:color w:val="000000"/>
        </w:rPr>
        <w:t>. Tant que le profil de formation spécifique n’est pas approuvé par le Gouvernement, dans le respect des procédures fixées par circulaire</w:t>
      </w:r>
      <w:r>
        <w:rPr>
          <w:rStyle w:val="Caractresdenotedebasdepage"/>
          <w:rFonts w:ascii="Book Antiqua" w:hAnsi="Book Antiqua" w:cs="Book Antiqua"/>
          <w:color w:val="000000"/>
        </w:rPr>
        <w:footnoteReference w:id="189"/>
      </w:r>
      <w:r>
        <w:rPr>
          <w:rFonts w:ascii="Book Antiqua" w:hAnsi="Book Antiqua" w:cs="Book Antiqua"/>
          <w:color w:val="000000"/>
        </w:rPr>
        <w:t>, les demandes seront accompagnées d’un dossier comprenant au minimum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le(s) lieu(x) d’insertion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 degré dans lequel sera organisée la formation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 nombre d’élèves déjà inscrits ou en voie de l’être dans le degré où sera organisée ladite formation, à la date d’introduction du dossier ;</w:t>
      </w:r>
    </w:p>
    <w:p>
      <w:pPr>
        <w:numPr>
          <w:ilvl w:val="0"/>
          <w:numId w:val="41"/>
        </w:numPr>
        <w:tabs>
          <w:tab w:val="clear" w:pos="2471"/>
          <w:tab w:val="left" w:pos="1134"/>
          <w:tab w:val="num" w:pos="3180"/>
        </w:tabs>
        <w:spacing w:after="60"/>
        <w:ind w:left="1843" w:hanging="283"/>
        <w:jc w:val="both"/>
        <w:rPr>
          <w:rFonts w:ascii="Book Antiqua" w:hAnsi="Book Antiqua" w:cs="Book Antiqua"/>
        </w:rPr>
      </w:pPr>
      <w:r>
        <w:rPr>
          <w:rFonts w:ascii="Book Antiqua" w:hAnsi="Book Antiqua" w:cs="Book Antiqua"/>
        </w:rPr>
        <w:t xml:space="preserve">un plan de formation et une description du métier qui vise les compétences à atteindre si le profil de formation n’a pas encore été approuvé par la CCPQ et le CGC </w:t>
      </w:r>
      <w:r>
        <w:rPr>
          <w:rFonts w:ascii="Book Antiqua" w:hAnsi="Book Antiqua" w:cs="Book Antiqua"/>
          <w:u w:val="single"/>
        </w:rPr>
        <w:t>ou</w:t>
      </w:r>
      <w:r>
        <w:rPr>
          <w:rFonts w:ascii="Book Antiqua" w:hAnsi="Book Antiqua" w:cs="Book Antiqua"/>
        </w:rPr>
        <w:t xml:space="preserve"> le profil de formation élaboré par le Service Francophone des Métiers et des Qualifications (SFMQ), mais non encore approuvé par le Gouvernement de la</w:t>
      </w:r>
      <w:r>
        <w:rPr>
          <w:rFonts w:ascii="Book Antiqua" w:hAnsi="Book Antiqua" w:cs="Book Antiqua"/>
          <w:color w:val="000000"/>
          <w:spacing w:val="-4"/>
        </w:rPr>
        <w:t xml:space="preserve"> Fédération Wallonie-Bruxelles</w:t>
      </w:r>
      <w:r>
        <w:rPr>
          <w:rFonts w:ascii="Book Antiqua" w:hAnsi="Book Antiqua" w:cs="Book Antiqua"/>
        </w:rPr>
        <w:t>;</w:t>
      </w:r>
    </w:p>
    <w:p>
      <w:pPr>
        <w:numPr>
          <w:ilvl w:val="0"/>
          <w:numId w:val="41"/>
        </w:numPr>
        <w:tabs>
          <w:tab w:val="clear" w:pos="2471"/>
          <w:tab w:val="left" w:pos="1134"/>
          <w:tab w:val="num" w:pos="3180"/>
        </w:tabs>
        <w:spacing w:after="60"/>
        <w:ind w:left="1844" w:hanging="284"/>
        <w:jc w:val="both"/>
        <w:rPr>
          <w:rFonts w:ascii="Book Antiqua" w:hAnsi="Book Antiqua" w:cs="Book Antiqua"/>
          <w:color w:val="000000"/>
        </w:rPr>
      </w:pPr>
      <w:r>
        <w:rPr>
          <w:rFonts w:ascii="Book Antiqua" w:hAnsi="Book Antiqua" w:cs="Book Antiqua"/>
          <w:color w:val="000000"/>
        </w:rPr>
        <w:t>si possible, le nombre de contrats de formation en entreprise estimé ou supputé par le CEFA pour la formation demandée dans le cadre de la déclinaison des lieux d’insertion.</w:t>
      </w:r>
    </w:p>
    <w:p>
      <w:pPr>
        <w:spacing w:after="60"/>
        <w:ind w:left="1135"/>
        <w:jc w:val="both"/>
        <w:rPr>
          <w:rFonts w:ascii="Book Antiqua" w:hAnsi="Book Antiqua" w:cs="Book Antiqua"/>
          <w:color w:val="000000"/>
        </w:rPr>
      </w:pPr>
      <w:r>
        <w:rPr>
          <w:rFonts w:ascii="Book Antiqua" w:hAnsi="Book Antiqua" w:cs="Book Antiqua"/>
          <w:i/>
          <w:color w:val="000000"/>
        </w:rPr>
        <w:t>Pour l’enseignement subventionné par la</w:t>
      </w:r>
      <w:r>
        <w:rPr>
          <w:rFonts w:ascii="Book Antiqua" w:hAnsi="Book Antiqua" w:cs="Book Antiqua"/>
          <w:color w:val="000000"/>
          <w:spacing w:val="-4"/>
        </w:rPr>
        <w:t xml:space="preserve"> </w:t>
      </w:r>
      <w:r>
        <w:rPr>
          <w:rFonts w:ascii="Book Antiqua" w:hAnsi="Book Antiqua" w:cs="Book Antiqua"/>
          <w:i/>
          <w:color w:val="000000"/>
          <w:spacing w:val="-4"/>
        </w:rPr>
        <w:t>Fédération Wallonie-Bruxelles</w:t>
      </w:r>
      <w:r>
        <w:rPr>
          <w:rFonts w:ascii="Book Antiqua" w:hAnsi="Book Antiqua" w:cs="Book Antiqua"/>
          <w:color w:val="000000"/>
          <w:spacing w:val="-4"/>
        </w:rPr>
        <w:t>,</w:t>
      </w:r>
      <w:r>
        <w:rPr>
          <w:rFonts w:ascii="Book Antiqua" w:hAnsi="Book Antiqua" w:cs="Book Antiqua"/>
          <w:b/>
          <w:color w:val="000000"/>
        </w:rPr>
        <w:t xml:space="preserve"> </w:t>
      </w:r>
      <w:r>
        <w:rPr>
          <w:rFonts w:ascii="Book Antiqua" w:hAnsi="Book Antiqua" w:cs="Book Antiqua"/>
          <w:color w:val="000000"/>
        </w:rPr>
        <w:t xml:space="preserve">les demandes sont introduites au minimum 1 mois avant l’ouverture de la formation auprès de la Direction générale de l’enseignement obligatoire, via les organes de représentation et de coordination de chacun des réseaux ou directement à l’Administration si le Pouvoir organisateur n’a pas adhéré à un organe de représentation. Un dossier motivé doit être joint aux demandes, ce dossier comprenant au minimum :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le(s) lieu(x) d’insertion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 degré dans lequel sera organisée la formation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 nombre d’élèves déjà inscrits ou en voie de l’être dans le degré où sera organisée ladite formation, à la date d’introduction du dossier ;</w:t>
      </w:r>
    </w:p>
    <w:p>
      <w:pPr>
        <w:numPr>
          <w:ilvl w:val="0"/>
          <w:numId w:val="41"/>
        </w:numPr>
        <w:tabs>
          <w:tab w:val="clear" w:pos="2471"/>
          <w:tab w:val="left" w:pos="1134"/>
          <w:tab w:val="num" w:pos="3180"/>
        </w:tabs>
        <w:spacing w:after="60"/>
        <w:ind w:left="1843" w:hanging="283"/>
        <w:jc w:val="both"/>
        <w:rPr>
          <w:rFonts w:ascii="Book Antiqua" w:hAnsi="Book Antiqua" w:cs="Book Antiqua"/>
        </w:rPr>
      </w:pPr>
      <w:r>
        <w:rPr>
          <w:rFonts w:ascii="Book Antiqua" w:hAnsi="Book Antiqua" w:cs="Book Antiqua"/>
        </w:rPr>
        <w:t xml:space="preserve">un plan de formation et une description du métier qui vise les compétences à atteindre si le profil de formation n’a pas encore été approuvé par la CCPQ et le CGC </w:t>
      </w:r>
      <w:r>
        <w:rPr>
          <w:rFonts w:ascii="Book Antiqua" w:hAnsi="Book Antiqua" w:cs="Book Antiqua"/>
          <w:u w:val="single"/>
        </w:rPr>
        <w:t>ou</w:t>
      </w:r>
      <w:r>
        <w:rPr>
          <w:rFonts w:ascii="Book Antiqua" w:hAnsi="Book Antiqua" w:cs="Book Antiqua"/>
        </w:rPr>
        <w:t xml:space="preserve"> le profil de formation élaboré par le SFMQ, mais non encore approuvé par le Gouvernement de la</w:t>
      </w:r>
      <w:r>
        <w:rPr>
          <w:rFonts w:ascii="Book Antiqua" w:hAnsi="Book Antiqua" w:cs="Book Antiqua"/>
          <w:color w:val="000000"/>
          <w:spacing w:val="-4"/>
        </w:rPr>
        <w:t xml:space="preserve"> Fédération Wallonie-Bruxelles</w:t>
      </w:r>
      <w:r>
        <w:rPr>
          <w:rFonts w:ascii="Book Antiqua" w:hAnsi="Book Antiqua" w:cs="Book Antiqua"/>
        </w:rPr>
        <w:t>;</w:t>
      </w:r>
    </w:p>
    <w:p>
      <w:pPr>
        <w:numPr>
          <w:ilvl w:val="0"/>
          <w:numId w:val="41"/>
        </w:numPr>
        <w:tabs>
          <w:tab w:val="clear" w:pos="2471"/>
          <w:tab w:val="left" w:pos="1134"/>
          <w:tab w:val="num" w:pos="3180"/>
        </w:tabs>
        <w:ind w:left="1843" w:hanging="283"/>
        <w:jc w:val="both"/>
        <w:rPr>
          <w:rFonts w:ascii="Book Antiqua" w:hAnsi="Book Antiqua" w:cs="Book Antiqua"/>
          <w:color w:val="000000"/>
        </w:rPr>
      </w:pPr>
      <w:r>
        <w:rPr>
          <w:rFonts w:ascii="Book Antiqua" w:hAnsi="Book Antiqua" w:cs="Book Antiqua"/>
          <w:color w:val="000000"/>
        </w:rPr>
        <w:t>si possible, le nombre de contrats de formation en entreprise estimé ou supputé par le CEFA pour la formation demandée dans le cadre de la déclinaison des lieux d’insertion.</w:t>
      </w:r>
    </w:p>
    <w:p>
      <w:pPr>
        <w:pBdr>
          <w:top w:val="single" w:sz="4" w:space="1" w:color="000000"/>
          <w:left w:val="single" w:sz="4" w:space="4" w:color="000000"/>
          <w:bottom w:val="single" w:sz="4" w:space="1" w:color="000000"/>
          <w:right w:val="single" w:sz="4" w:space="4" w:color="000000"/>
        </w:pBdr>
        <w:spacing w:before="120" w:after="120"/>
        <w:ind w:left="1134"/>
        <w:jc w:val="both"/>
        <w:rPr>
          <w:rFonts w:ascii="Book Antiqua" w:hAnsi="Book Antiqua" w:cs="Book Antiqua"/>
          <w:color w:val="000000"/>
        </w:rPr>
      </w:pPr>
      <w:r>
        <w:rPr>
          <w:rFonts w:ascii="Book Antiqua" w:hAnsi="Book Antiqua" w:cs="Book Antiqua"/>
          <w:color w:val="000000"/>
        </w:rPr>
        <w:t>N.B. : Tant que le profil de formation spécifique n’a pas fait l’objet d’un arrêté du Gouvernement de la</w:t>
      </w:r>
      <w:r>
        <w:rPr>
          <w:rFonts w:ascii="Book Antiqua" w:hAnsi="Book Antiqua" w:cs="Book Antiqua"/>
          <w:color w:val="000000"/>
          <w:spacing w:val="-4"/>
        </w:rPr>
        <w:t xml:space="preserve"> Fédération Wallonie-Bruxelles</w:t>
      </w:r>
      <w:r>
        <w:rPr>
          <w:rFonts w:ascii="Book Antiqua" w:hAnsi="Book Antiqua" w:cs="Book Antiqua"/>
          <w:color w:val="000000"/>
        </w:rPr>
        <w:t>, la formation considérée n’est pas encore une formation « article 45 » mais bien une formation organisée en urgence qui doit faire l’objet d’une réintroduction de dossier.</w:t>
      </w:r>
    </w:p>
    <w:p>
      <w:pPr>
        <w:spacing w:after="120"/>
        <w:ind w:left="1134"/>
        <w:jc w:val="both"/>
        <w:rPr>
          <w:rFonts w:ascii="Book Antiqua" w:hAnsi="Book Antiqua" w:cs="Book Antiqua"/>
          <w:color w:val="000000"/>
        </w:rPr>
      </w:pPr>
      <w:r>
        <w:rPr>
          <w:rFonts w:ascii="Book Antiqua" w:hAnsi="Book Antiqua" w:cs="Book Antiqua"/>
          <w:color w:val="000000"/>
        </w:rPr>
        <w:t xml:space="preserve">Cette formation est sanctionnée par une attestation de compétences professionnelles. </w:t>
      </w:r>
    </w:p>
    <w:p>
      <w:pPr>
        <w:spacing w:after="120"/>
        <w:ind w:left="1134"/>
        <w:jc w:val="both"/>
        <w:rPr>
          <w:rFonts w:ascii="Book Antiqua" w:hAnsi="Book Antiqua" w:cs="Book Antiqua"/>
          <w:color w:val="000000"/>
        </w:rPr>
      </w:pPr>
      <w:r>
        <w:rPr>
          <w:rFonts w:ascii="Book Antiqua" w:hAnsi="Book Antiqua" w:cs="Book Antiqua"/>
          <w:color w:val="000000"/>
        </w:rPr>
        <w:t xml:space="preserve">Si un profil de certification spécifique est défini par le Gouvernement, la formation considérée devient une formation « article 45 » et un certificat de qualification spécifique </w:t>
      </w:r>
      <w:r>
        <w:rPr>
          <w:rFonts w:ascii="Book Antiqua" w:hAnsi="Book Antiqua" w:cs="Book Antiqua"/>
          <w:color w:val="000000"/>
        </w:rPr>
        <w:lastRenderedPageBreak/>
        <w:t>remplace l’attestation de compétences professionnelles du 2</w:t>
      </w:r>
      <w:r>
        <w:rPr>
          <w:rFonts w:ascii="Book Antiqua" w:hAnsi="Book Antiqua" w:cs="Book Antiqua"/>
          <w:color w:val="000000"/>
          <w:vertAlign w:val="superscript"/>
        </w:rPr>
        <w:t>ème</w:t>
      </w:r>
      <w:r>
        <w:rPr>
          <w:rFonts w:ascii="Book Antiqua" w:hAnsi="Book Antiqua" w:cs="Book Antiqua"/>
          <w:color w:val="000000"/>
        </w:rPr>
        <w:t xml:space="preserve"> degré de l’enseignement secondaire en alternance. </w:t>
      </w:r>
      <w:r>
        <w:rPr>
          <w:rStyle w:val="Caractresdenotedebasdepage"/>
          <w:rFonts w:ascii="Book Antiqua" w:hAnsi="Book Antiqua" w:cs="Book Antiqua"/>
          <w:color w:val="000000"/>
        </w:rPr>
        <w:footnoteReference w:id="190"/>
      </w:r>
    </w:p>
    <w:p>
      <w:pPr>
        <w:ind w:left="1135"/>
        <w:jc w:val="both"/>
        <w:rPr>
          <w:rFonts w:ascii="Book Antiqua" w:hAnsi="Book Antiqua" w:cs="Book Antiqua"/>
          <w:color w:val="000000"/>
        </w:rPr>
      </w:pPr>
      <w:r>
        <w:rPr>
          <w:rFonts w:ascii="Book Antiqua" w:hAnsi="Book Antiqua" w:cs="Book Antiqua"/>
          <w:color w:val="000000"/>
        </w:rPr>
        <w:t>Les formations répertoriées dans la liste ci-dessous relèvent à ce jour des mesures urgentes.</w:t>
      </w:r>
    </w:p>
    <w:p>
      <w:pPr>
        <w:ind w:left="1135"/>
        <w:jc w:val="both"/>
        <w:rPr>
          <w:rFonts w:ascii="Book Antiqua" w:hAnsi="Book Antiqua" w:cs="Book Antiqua"/>
          <w:color w:val="000000"/>
        </w:rPr>
      </w:pPr>
    </w:p>
    <w:tbl>
      <w:tblPr>
        <w:tblW w:w="9150" w:type="dxa"/>
        <w:tblInd w:w="557" w:type="dxa"/>
        <w:tblLayout w:type="fixed"/>
        <w:tblCellMar>
          <w:left w:w="54" w:type="dxa"/>
          <w:right w:w="54" w:type="dxa"/>
        </w:tblCellMar>
        <w:tblLook w:val="0000" w:firstRow="0" w:lastRow="0" w:firstColumn="0" w:lastColumn="0" w:noHBand="0" w:noVBand="0"/>
      </w:tblPr>
      <w:tblGrid>
        <w:gridCol w:w="900"/>
        <w:gridCol w:w="8250"/>
      </w:tblGrid>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CODE</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1 « AGRONOMIE »</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1020</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Auxiliaire fleuriste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CODE</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2 « INDUSTRIE »</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2019</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en peinture industrielle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2017</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Opérateur/Opératrice de production sur processus continu avec défilement</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2020</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Opérateur/Opératrice de production en industrie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2022</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Technicien conducteur/Technicienne conductrice de ligne de production alimentaire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b/>
                <w:color w:val="000000"/>
              </w:rPr>
            </w:pP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5 « HABILLEMENT ET TEXTILE»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5005</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Maroquinier/Maroquinière </w:t>
            </w:r>
          </w:p>
        </w:tc>
      </w:tr>
    </w:tbl>
    <w:p>
      <w:pPr>
        <w:pStyle w:val="niveau4"/>
        <w:ind w:left="709"/>
      </w:pPr>
    </w:p>
    <w:p>
      <w:pPr>
        <w:pStyle w:val="niveau4"/>
        <w:ind w:left="709"/>
        <w:rPr>
          <w:rStyle w:val="bookantica10Car"/>
          <w:b w:val="0"/>
          <w:color w:val="000000"/>
          <w:sz w:val="20"/>
          <w:szCs w:val="20"/>
          <w:u w:val="none"/>
        </w:rPr>
      </w:pPr>
      <w:r>
        <w:br w:type="page"/>
      </w:r>
      <w:bookmarkStart w:id="95" w:name="_Toc522700811"/>
      <w:r>
        <w:lastRenderedPageBreak/>
        <w:t>3. Répertoire des options de base groupées des 2</w:t>
      </w:r>
      <w:r>
        <w:rPr>
          <w:vertAlign w:val="superscript"/>
        </w:rPr>
        <w:t>ème</w:t>
      </w:r>
      <w:r>
        <w:t xml:space="preserve"> et 3</w:t>
      </w:r>
      <w:r>
        <w:rPr>
          <w:vertAlign w:val="superscript"/>
        </w:rPr>
        <w:t>ème</w:t>
      </w:r>
      <w:r>
        <w:t xml:space="preserve"> degrés</w:t>
      </w:r>
      <w:r>
        <w:rPr>
          <w:u w:val="none"/>
        </w:rPr>
        <w:t xml:space="preserve"> </w:t>
      </w:r>
      <w:r>
        <w:rPr>
          <w:rStyle w:val="bookantica10Car"/>
          <w:b w:val="0"/>
          <w:color w:val="000000"/>
          <w:sz w:val="20"/>
          <w:szCs w:val="20"/>
          <w:u w:val="none"/>
        </w:rPr>
        <w:t>(« Article 49 »)</w:t>
      </w:r>
      <w:bookmarkEnd w:id="95"/>
    </w:p>
    <w:p>
      <w:pPr>
        <w:tabs>
          <w:tab w:val="left" w:pos="828"/>
          <w:tab w:val="left" w:pos="7064"/>
        </w:tabs>
        <w:ind w:left="1135"/>
        <w:jc w:val="both"/>
        <w:rPr>
          <w:rFonts w:ascii="Book Antiqua" w:hAnsi="Book Antiqua" w:cs="Book Antiqua"/>
          <w:color w:val="000000"/>
          <w:spacing w:val="-2"/>
        </w:rPr>
      </w:pPr>
      <w:r>
        <w:rPr>
          <w:rFonts w:ascii="Book Antiqua" w:hAnsi="Book Antiqua" w:cs="Book Antiqua"/>
          <w:color w:val="000000"/>
          <w:spacing w:val="-2"/>
        </w:rPr>
        <w:t>Les intitulés des options groupées organisées aux 2</w:t>
      </w:r>
      <w:r>
        <w:rPr>
          <w:rFonts w:ascii="Book Antiqua" w:hAnsi="Book Antiqua" w:cs="Book Antiqua"/>
          <w:color w:val="000000"/>
          <w:spacing w:val="-2"/>
          <w:vertAlign w:val="superscript"/>
        </w:rPr>
        <w:t>ème</w:t>
      </w:r>
      <w:r>
        <w:rPr>
          <w:rFonts w:ascii="Book Antiqua" w:hAnsi="Book Antiqua" w:cs="Book Antiqua"/>
          <w:color w:val="000000"/>
          <w:spacing w:val="-2"/>
        </w:rPr>
        <w:t xml:space="preserve"> et 3</w:t>
      </w:r>
      <w:r>
        <w:rPr>
          <w:rFonts w:ascii="Book Antiqua" w:hAnsi="Book Antiqua" w:cs="Book Antiqua"/>
          <w:color w:val="000000"/>
          <w:spacing w:val="-2"/>
          <w:vertAlign w:val="superscript"/>
        </w:rPr>
        <w:t>ème</w:t>
      </w:r>
      <w:r>
        <w:rPr>
          <w:rFonts w:ascii="Book Antiqua" w:hAnsi="Book Antiqua" w:cs="Book Antiqua"/>
          <w:color w:val="000000"/>
          <w:spacing w:val="-2"/>
        </w:rPr>
        <w:t xml:space="preserve"> degrés de l'enseignement technique et professionnel doivent être strictement conformes aux intitulés fixés aux annexes II et III de l'arrêté du 14 juin 1993 fixant le répertoire des options de base dans l’enseignement secondaire, tels que repris ci-après. </w:t>
      </w:r>
    </w:p>
    <w:p>
      <w:pPr>
        <w:ind w:left="709"/>
        <w:rPr>
          <w:rFonts w:ascii="Book Antiqua" w:hAnsi="Book Antiqua" w:cs="Book Antiqua"/>
          <w:color w:val="000000"/>
        </w:rPr>
      </w:pPr>
    </w:p>
    <w:tbl>
      <w:tblPr>
        <w:tblW w:w="9505" w:type="dxa"/>
        <w:tblInd w:w="63" w:type="dxa"/>
        <w:tblLayout w:type="fixed"/>
        <w:tblCellMar>
          <w:left w:w="70" w:type="dxa"/>
          <w:right w:w="70" w:type="dxa"/>
        </w:tblCellMar>
        <w:tblLook w:val="0000" w:firstRow="0" w:lastRow="0" w:firstColumn="0" w:lastColumn="0" w:noHBand="0" w:noVBand="0"/>
      </w:tblPr>
      <w:tblGrid>
        <w:gridCol w:w="1830"/>
        <w:gridCol w:w="420"/>
        <w:gridCol w:w="600"/>
        <w:gridCol w:w="2260"/>
        <w:gridCol w:w="525"/>
        <w:gridCol w:w="675"/>
        <w:gridCol w:w="3195"/>
      </w:tblGrid>
      <w:tr>
        <w:trPr>
          <w:cantSplit/>
          <w:trHeight w:val="67"/>
        </w:trPr>
        <w:tc>
          <w:tcPr>
            <w:tcW w:w="9505" w:type="dxa"/>
            <w:gridSpan w:val="7"/>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jc w:val="center"/>
              <w:rPr>
                <w:rFonts w:ascii="Book Antiqua" w:hAnsi="Book Antiqua" w:cs="Book Antiqua"/>
                <w:b/>
                <w:color w:val="000000"/>
                <w:sz w:val="24"/>
              </w:rPr>
            </w:pPr>
            <w:r>
              <w:rPr>
                <w:rFonts w:ascii="Book Antiqua" w:hAnsi="Book Antiqua" w:cs="Book Antiqua"/>
                <w:b/>
                <w:color w:val="000000"/>
                <w:sz w:val="24"/>
              </w:rPr>
              <w:t>Secteur 1 : Agronomie</w:t>
            </w:r>
          </w:p>
        </w:tc>
      </w:tr>
      <w:tr>
        <w:trPr>
          <w:cantSplit/>
          <w:trHeight w:val="490"/>
        </w:trPr>
        <w:tc>
          <w:tcPr>
            <w:tcW w:w="183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rPr>
            </w:pPr>
            <w:r>
              <w:rPr>
                <w:rFonts w:ascii="Book Antiqua" w:hAnsi="Book Antiqua" w:cs="Book Antiqua"/>
                <w:b/>
                <w:color w:val="000000"/>
                <w:spacing w:val="-2"/>
              </w:rPr>
              <w:t xml:space="preserve">Enseignement </w:t>
            </w:r>
          </w:p>
          <w:p>
            <w:pPr>
              <w:tabs>
                <w:tab w:val="center" w:pos="4513"/>
              </w:tabs>
              <w:rPr>
                <w:rFonts w:ascii="Book Antiqua" w:hAnsi="Book Antiqua" w:cs="Book Antiqua"/>
                <w:b/>
                <w:color w:val="000000"/>
                <w:spacing w:val="-2"/>
              </w:rPr>
            </w:pPr>
            <w:r>
              <w:rPr>
                <w:rFonts w:ascii="Book Antiqua" w:hAnsi="Book Antiqua" w:cs="Book Antiqua"/>
                <w:b/>
                <w:color w:val="000000"/>
                <w:spacing w:val="-2"/>
              </w:rPr>
              <w:t>Technique</w:t>
            </w:r>
          </w:p>
        </w:tc>
        <w:tc>
          <w:tcPr>
            <w:tcW w:w="42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25"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1109</w:t>
            </w:r>
          </w:p>
          <w:p>
            <w:pPr>
              <w:tabs>
                <w:tab w:val="center" w:pos="4513"/>
              </w:tabs>
              <w:rPr>
                <w:rFonts w:ascii="Book Antiqua" w:hAnsi="Book Antiqua" w:cs="Book Antiqua"/>
                <w:color w:val="000000"/>
                <w:spacing w:val="-2"/>
              </w:rPr>
            </w:pPr>
          </w:p>
        </w:tc>
        <w:tc>
          <w:tcPr>
            <w:tcW w:w="319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Technicien/Technicienne en agriculture R </w:t>
            </w:r>
          </w:p>
        </w:tc>
      </w:tr>
      <w:tr>
        <w:trPr>
          <w:cantSplit/>
          <w:trHeight w:val="411"/>
        </w:trPr>
        <w:tc>
          <w:tcPr>
            <w:tcW w:w="1830"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1111</w:t>
            </w:r>
          </w:p>
        </w:tc>
        <w:tc>
          <w:tcPr>
            <w:tcW w:w="3195" w:type="dxa"/>
            <w:tcBorders>
              <w:top w:val="single" w:sz="4" w:space="0" w:color="auto"/>
              <w:left w:val="single" w:sz="4" w:space="0" w:color="000000"/>
              <w:right w:val="single" w:sz="4" w:space="0" w:color="000000"/>
            </w:tcBorders>
          </w:tcPr>
          <w:p>
            <w:pPr>
              <w:pStyle w:val="Notedebasdepage"/>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Technicien/Technicienne en agroéquipement R</w:t>
            </w:r>
          </w:p>
        </w:tc>
      </w:tr>
      <w:tr>
        <w:trPr>
          <w:cantSplit/>
          <w:trHeight w:val="67"/>
        </w:trPr>
        <w:tc>
          <w:tcPr>
            <w:tcW w:w="183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1209</w:t>
            </w:r>
          </w:p>
        </w:tc>
        <w:tc>
          <w:tcPr>
            <w:tcW w:w="3195" w:type="dxa"/>
            <w:tcBorders>
              <w:top w:val="single" w:sz="4" w:space="0" w:color="000000"/>
              <w:left w:val="single" w:sz="4" w:space="0" w:color="000000"/>
              <w:right w:val="single" w:sz="4" w:space="0" w:color="000000"/>
            </w:tcBorders>
          </w:tcPr>
          <w:p>
            <w:pPr>
              <w:tabs>
                <w:tab w:val="center" w:pos="4513"/>
              </w:tabs>
              <w:snapToGrid w:val="0"/>
              <w:rPr>
                <w:rFonts w:ascii="Book Antiqua" w:hAnsi="Book Antiqua" w:cs="Book Antiqua"/>
                <w:color w:val="000000"/>
                <w:spacing w:val="-2"/>
                <w:shd w:val="clear" w:color="auto" w:fill="FFFFFF"/>
              </w:rPr>
            </w:pPr>
            <w:r>
              <w:rPr>
                <w:rFonts w:ascii="Book Antiqua" w:hAnsi="Book Antiqua" w:cs="Book Antiqua"/>
                <w:color w:val="000000"/>
                <w:spacing w:val="-2"/>
                <w:shd w:val="clear" w:color="auto" w:fill="FFFFFF"/>
              </w:rPr>
              <w:t>Technicien/ Technicienne en horticulture</w:t>
            </w:r>
            <w:r>
              <w:rPr>
                <w:rFonts w:ascii="Book Antiqua" w:hAnsi="Book Antiqua" w:cs="Book Antiqua"/>
                <w:color w:val="000000"/>
                <w:spacing w:val="-2"/>
              </w:rPr>
              <w:t xml:space="preserve"> R</w:t>
            </w:r>
          </w:p>
        </w:tc>
      </w:tr>
      <w:tr>
        <w:trPr>
          <w:cantSplit/>
          <w:trHeight w:val="67"/>
        </w:trPr>
        <w:tc>
          <w:tcPr>
            <w:tcW w:w="183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1306</w:t>
            </w:r>
          </w:p>
        </w:tc>
        <w:tc>
          <w:tcPr>
            <w:tcW w:w="3195"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Agent/Agente technique de la nature et des forêts R2</w:t>
            </w:r>
          </w:p>
        </w:tc>
      </w:tr>
      <w:tr>
        <w:trPr>
          <w:cantSplit/>
          <w:trHeight w:val="527"/>
        </w:trPr>
        <w:tc>
          <w:tcPr>
            <w:tcW w:w="1830"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1308</w:t>
            </w:r>
          </w:p>
        </w:tc>
        <w:tc>
          <w:tcPr>
            <w:tcW w:w="3195" w:type="dxa"/>
            <w:tcBorders>
              <w:top w:val="single" w:sz="4" w:space="0" w:color="000000"/>
              <w:left w:val="single" w:sz="4" w:space="0" w:color="000000"/>
              <w:bottom w:val="single" w:sz="4" w:space="0" w:color="auto"/>
              <w:right w:val="single" w:sz="4" w:space="0" w:color="000000"/>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environnement R</w:t>
            </w:r>
          </w:p>
        </w:tc>
      </w:tr>
      <w:tr>
        <w:trPr>
          <w:cantSplit/>
          <w:trHeight w:val="386"/>
        </w:trPr>
        <w:tc>
          <w:tcPr>
            <w:tcW w:w="183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rPr>
            </w:pPr>
            <w:r>
              <w:rPr>
                <w:rFonts w:ascii="Book Antiqua" w:hAnsi="Book Antiqua" w:cs="Book Antiqua"/>
                <w:b/>
                <w:color w:val="000000"/>
                <w:spacing w:val="-2"/>
              </w:rPr>
              <w:t xml:space="preserve">Enseignement </w:t>
            </w:r>
          </w:p>
          <w:p>
            <w:pPr>
              <w:tabs>
                <w:tab w:val="center" w:pos="4513"/>
              </w:tabs>
              <w:rPr>
                <w:rFonts w:ascii="Book Antiqua" w:hAnsi="Book Antiqua" w:cs="Book Antiqua"/>
                <w:b/>
                <w:color w:val="000000"/>
                <w:spacing w:val="-2"/>
              </w:rPr>
            </w:pPr>
            <w:r>
              <w:rPr>
                <w:rFonts w:ascii="Book Antiqua" w:hAnsi="Book Antiqua" w:cs="Book Antiqua"/>
                <w:b/>
                <w:color w:val="000000"/>
                <w:spacing w:val="-2"/>
              </w:rPr>
              <w:t>Professionnel</w:t>
            </w:r>
          </w:p>
        </w:tc>
        <w:tc>
          <w:tcPr>
            <w:tcW w:w="42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60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1101</w:t>
            </w:r>
          </w:p>
        </w:tc>
        <w:tc>
          <w:tcPr>
            <w:tcW w:w="2260" w:type="dxa"/>
            <w:vMerge w:val="restart"/>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r>
              <w:rPr>
                <w:rFonts w:ascii="Book Antiqua" w:hAnsi="Book Antiqua" w:cs="Book Antiqua"/>
                <w:color w:val="000000"/>
                <w:spacing w:val="-2"/>
              </w:rPr>
              <w:t>Agriculture et maintenance de matériel R</w:t>
            </w:r>
          </w:p>
        </w:tc>
        <w:tc>
          <w:tcPr>
            <w:tcW w:w="525"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1108</w:t>
            </w:r>
          </w:p>
          <w:p>
            <w:pPr>
              <w:pStyle w:val="Notedebasdepage"/>
              <w:tabs>
                <w:tab w:val="center" w:pos="4513"/>
              </w:tabs>
              <w:snapToGrid w:val="0"/>
              <w:rPr>
                <w:rFonts w:ascii="Book Antiqua" w:hAnsi="Book Antiqua" w:cs="Times New Roman"/>
                <w:color w:val="000000"/>
                <w:spacing w:val="-2"/>
              </w:rPr>
            </w:pPr>
          </w:p>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1118</w:t>
            </w:r>
          </w:p>
          <w:p>
            <w:pPr>
              <w:tabs>
                <w:tab w:val="center" w:pos="4513"/>
              </w:tabs>
              <w:rPr>
                <w:rFonts w:ascii="Book Antiqua" w:hAnsi="Book Antiqua" w:cs="Book Antiqua"/>
                <w:color w:val="000000"/>
                <w:spacing w:val="-2"/>
              </w:rPr>
            </w:pP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 xml:space="preserve">Ouvrier qualifié/Ouvrière qualifiée en agriculture R </w:t>
            </w:r>
          </w:p>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Agent / Agente agricole polyvalent / polyvalente (D2-4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cantSplit/>
          <w:trHeight w:val="386"/>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1116</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Pisciculteur aquaculteur/Piscicultrice aquacultrice productions en aquaculture animale R</w:t>
            </w:r>
          </w:p>
        </w:tc>
      </w:tr>
      <w:tr>
        <w:trPr>
          <w:cantSplit/>
          <w:trHeight w:val="386"/>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1117</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Assistant/assistante en soins animaliers R</w:t>
            </w:r>
          </w:p>
        </w:tc>
      </w:tr>
      <w:tr>
        <w:trPr>
          <w:cantSplit/>
          <w:trHeight w:val="399"/>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1207</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Fleuriste R</w:t>
            </w:r>
          </w:p>
        </w:tc>
      </w:tr>
      <w:tr>
        <w:trPr>
          <w:cantSplit/>
          <w:trHeight w:val="239"/>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1202</w:t>
            </w:r>
          </w:p>
        </w:tc>
        <w:tc>
          <w:tcPr>
            <w:tcW w:w="226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Horticulture et maintenance de matériel R</w:t>
            </w: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1208</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Ouvrier qualifié/Ouvrière qualifiée en horticulture R</w:t>
            </w:r>
          </w:p>
        </w:tc>
      </w:tr>
      <w:tr>
        <w:trPr>
          <w:cantSplit/>
          <w:trHeight w:val="239"/>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1314</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Ouvrier qualifié/Ouvrière qualifiée en sylviculture R</w:t>
            </w:r>
          </w:p>
        </w:tc>
      </w:tr>
      <w:tr>
        <w:trPr>
          <w:cantSplit/>
          <w:trHeight w:val="269"/>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1404</w:t>
            </w:r>
          </w:p>
        </w:tc>
        <w:tc>
          <w:tcPr>
            <w:tcW w:w="226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Equitation R2 </w:t>
            </w: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1403</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Agent qualifié/Agente qualifiée dans les métiers du cheval R2</w:t>
            </w:r>
          </w:p>
        </w:tc>
      </w:tr>
    </w:tbl>
    <w:p>
      <w:pPr>
        <w:ind w:left="709"/>
      </w:pPr>
      <w:r>
        <w:br w:type="page"/>
      </w:r>
    </w:p>
    <w:tbl>
      <w:tblPr>
        <w:tblW w:w="9583" w:type="dxa"/>
        <w:tblInd w:w="-15" w:type="dxa"/>
        <w:tblLayout w:type="fixed"/>
        <w:tblCellMar>
          <w:left w:w="70" w:type="dxa"/>
          <w:right w:w="70" w:type="dxa"/>
        </w:tblCellMar>
        <w:tblLook w:val="0000" w:firstRow="0" w:lastRow="0" w:firstColumn="0" w:lastColumn="0" w:noHBand="0" w:noVBand="0"/>
      </w:tblPr>
      <w:tblGrid>
        <w:gridCol w:w="1417"/>
        <w:gridCol w:w="462"/>
        <w:gridCol w:w="703"/>
        <w:gridCol w:w="1756"/>
        <w:gridCol w:w="516"/>
        <w:gridCol w:w="675"/>
        <w:gridCol w:w="4054"/>
      </w:tblGrid>
      <w:tr>
        <w:trPr>
          <w:trHeight w:val="126"/>
        </w:trPr>
        <w:tc>
          <w:tcPr>
            <w:tcW w:w="9583" w:type="dxa"/>
            <w:gridSpan w:val="7"/>
            <w:tcBorders>
              <w:top w:val="single" w:sz="4" w:space="0" w:color="auto"/>
              <w:left w:val="single" w:sz="4" w:space="0" w:color="auto"/>
              <w:bottom w:val="single" w:sz="4" w:space="0" w:color="auto"/>
              <w:right w:val="single" w:sz="4" w:space="0" w:color="auto"/>
            </w:tcBorders>
          </w:tcPr>
          <w:p>
            <w:pPr>
              <w:tabs>
                <w:tab w:val="left" w:pos="329"/>
              </w:tabs>
              <w:snapToGrid w:val="0"/>
              <w:jc w:val="center"/>
              <w:rPr>
                <w:rFonts w:ascii="Book Antiqua" w:hAnsi="Book Antiqua" w:cs="Book Antiqua"/>
                <w:b/>
                <w:color w:val="000000"/>
                <w:sz w:val="24"/>
              </w:rPr>
            </w:pPr>
            <w:r>
              <w:rPr>
                <w:color w:val="000000"/>
              </w:rPr>
              <w:lastRenderedPageBreak/>
              <w:br w:type="page"/>
            </w:r>
            <w:r>
              <w:rPr>
                <w:rFonts w:ascii="Book Antiqua" w:hAnsi="Book Antiqua" w:cs="Book Antiqua"/>
                <w:b/>
                <w:color w:val="000000"/>
                <w:sz w:val="24"/>
              </w:rPr>
              <w:t>Secteur 2 : Industrie</w:t>
            </w:r>
          </w:p>
        </w:tc>
      </w:tr>
      <w:tr>
        <w:trPr>
          <w:trHeight w:val="216"/>
        </w:trPr>
        <w:tc>
          <w:tcPr>
            <w:tcW w:w="1417"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rPr>
            </w:pPr>
            <w:r>
              <w:rPr>
                <w:rFonts w:ascii="Book Antiqua" w:hAnsi="Book Antiqua" w:cs="Book Antiqua"/>
                <w:b/>
                <w:color w:val="000000"/>
                <w:spacing w:val="-2"/>
              </w:rPr>
              <w:t>Enseignement</w:t>
            </w:r>
          </w:p>
          <w:p>
            <w:pPr>
              <w:tabs>
                <w:tab w:val="center" w:pos="4513"/>
              </w:tabs>
              <w:rPr>
                <w:rFonts w:ascii="Book Antiqua" w:hAnsi="Book Antiqua" w:cs="Book Antiqua"/>
                <w:b/>
                <w:color w:val="000000"/>
                <w:spacing w:val="-2"/>
              </w:rPr>
            </w:pPr>
            <w:r>
              <w:rPr>
                <w:rFonts w:ascii="Book Antiqua" w:hAnsi="Book Antiqua" w:cs="Book Antiqua"/>
                <w:b/>
                <w:color w:val="000000"/>
                <w:spacing w:val="-2"/>
              </w:rPr>
              <w:t>Technique</w:t>
            </w:r>
          </w:p>
        </w:tc>
        <w:tc>
          <w:tcPr>
            <w:tcW w:w="462"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sz w:val="24"/>
              </w:rPr>
            </w:pPr>
          </w:p>
        </w:tc>
        <w:tc>
          <w:tcPr>
            <w:tcW w:w="703"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175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2213</w:t>
            </w:r>
          </w:p>
        </w:tc>
        <w:tc>
          <w:tcPr>
            <w:tcW w:w="4054" w:type="dxa"/>
            <w:tcBorders>
              <w:top w:val="single" w:sz="4" w:space="0" w:color="auto"/>
              <w:left w:val="single" w:sz="4" w:space="0" w:color="auto"/>
              <w:bottom w:val="single" w:sz="4" w:space="0" w:color="auto"/>
              <w:right w:val="single" w:sz="4" w:space="0" w:color="auto"/>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informatique R²</w:t>
            </w:r>
          </w:p>
        </w:tc>
      </w:tr>
      <w:tr>
        <w:trPr>
          <w:trHeight w:val="67"/>
        </w:trPr>
        <w:tc>
          <w:tcPr>
            <w:tcW w:w="1417"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2214</w:t>
            </w:r>
          </w:p>
        </w:tc>
        <w:tc>
          <w:tcPr>
            <w:tcW w:w="4054" w:type="dxa"/>
            <w:tcBorders>
              <w:top w:val="single" w:sz="4" w:space="0" w:color="auto"/>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électronique R </w:t>
            </w:r>
          </w:p>
        </w:tc>
      </w:tr>
      <w:tr>
        <w:trPr>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2327</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industrie graphique R</w:t>
            </w:r>
          </w:p>
        </w:tc>
      </w:tr>
      <w:tr>
        <w:trPr>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2328</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2333</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usinage R</w:t>
            </w:r>
          </w:p>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systèmes d’usinage (D2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2409</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Electricien automaticien/Electricienne automaticienne R</w:t>
            </w:r>
          </w:p>
        </w:tc>
      </w:tr>
      <w:tr>
        <w:trPr>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2410</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Mécanicien automaticien/Mécanicienne automaticienne</w:t>
            </w:r>
          </w:p>
        </w:tc>
      </w:tr>
      <w:tr>
        <w:trPr>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2527</w:t>
            </w:r>
          </w:p>
          <w:p>
            <w:pPr>
              <w:tabs>
                <w:tab w:val="center" w:pos="4513"/>
              </w:tabs>
              <w:snapToGrid w:val="0"/>
              <w:rPr>
                <w:rFonts w:ascii="Book Antiqua" w:hAnsi="Book Antiqua" w:cs="Book Antiqua"/>
                <w:color w:val="000000"/>
                <w:spacing w:val="-2"/>
              </w:rPr>
            </w:pP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2528</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Style w:val="Appelnotedebasdep"/>
                <w:rFonts w:ascii="Book Antiqua" w:hAnsi="Book Antiqua"/>
              </w:rPr>
            </w:pPr>
            <w:r>
              <w:rPr>
                <w:rFonts w:ascii="Book Antiqua" w:hAnsi="Book Antiqua"/>
              </w:rPr>
              <w:t>Mécanicien polyvalent/Mécanicienne polyvalente automobile</w:t>
            </w:r>
            <w:r>
              <w:rPr>
                <w:rFonts w:ascii="Book Antiqua" w:hAnsi="Book Antiqua" w:cs="Book Antiqua"/>
                <w:color w:val="000000"/>
                <w:spacing w:val="-2"/>
              </w:rPr>
              <w:t xml:space="preserve"> R</w:t>
            </w:r>
            <w:r>
              <w:rPr>
                <w:rStyle w:val="Appelnotedebasdep"/>
                <w:rFonts w:ascii="Book Antiqua" w:hAnsi="Book Antiqua"/>
              </w:rPr>
              <w:t xml:space="preserve"> </w:t>
            </w:r>
          </w:p>
          <w:p>
            <w:pPr>
              <w:tabs>
                <w:tab w:val="left" w:pos="329"/>
              </w:tabs>
              <w:snapToGrid w:val="0"/>
              <w:rPr>
                <w:rFonts w:ascii="Book Antiqua" w:hAnsi="Book Antiqua" w:cs="Book Antiqua"/>
                <w:color w:val="000000"/>
                <w:spacing w:val="-2"/>
              </w:rPr>
            </w:pPr>
            <w:r>
              <w:rPr>
                <w:rFonts w:ascii="Book Antiqua" w:hAnsi="Book Antiqua"/>
              </w:rPr>
              <w:t xml:space="preserve">Mécanicien polyvalent/Mécanicienne polyvalente automobile </w:t>
            </w:r>
            <w:r>
              <w:rPr>
                <w:rFonts w:ascii="Book Antiqua" w:hAnsi="Book Antiqua" w:cs="Book Antiqua"/>
                <w:color w:val="000000"/>
                <w:spacing w:val="-2"/>
              </w:rPr>
              <w:t>(D2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2628</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microtechnique R2</w:t>
            </w:r>
          </w:p>
        </w:tc>
      </w:tr>
      <w:tr>
        <w:trPr>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2709</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plasturgiste R2</w:t>
            </w:r>
          </w:p>
        </w:tc>
      </w:tr>
      <w:tr>
        <w:trPr>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2804</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du froid R </w:t>
            </w:r>
          </w:p>
        </w:tc>
      </w:tr>
      <w:tr>
        <w:trPr>
          <w:trHeight w:val="318"/>
        </w:trPr>
        <w:tc>
          <w:tcPr>
            <w:tcW w:w="1417"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rPr>
            </w:pPr>
            <w:r>
              <w:rPr>
                <w:rFonts w:ascii="Book Antiqua" w:hAnsi="Book Antiqua" w:cs="Book Antiqua"/>
                <w:b/>
                <w:color w:val="000000"/>
                <w:spacing w:val="-2"/>
              </w:rPr>
              <w:t>Enseignement</w:t>
            </w:r>
          </w:p>
          <w:p>
            <w:pPr>
              <w:pStyle w:val="Document1"/>
              <w:tabs>
                <w:tab w:val="center" w:pos="4513"/>
              </w:tabs>
              <w:rPr>
                <w:rFonts w:ascii="Book Antiqua" w:hAnsi="Book Antiqua" w:cs="Book Antiqua"/>
                <w:b/>
                <w:color w:val="000000"/>
                <w:spacing w:val="-2"/>
                <w:sz w:val="20"/>
                <w:lang w:val="fr-FR"/>
              </w:rPr>
            </w:pPr>
            <w:r>
              <w:rPr>
                <w:rFonts w:ascii="Book Antiqua" w:hAnsi="Book Antiqua" w:cs="Book Antiqua"/>
                <w:b/>
                <w:color w:val="000000"/>
                <w:spacing w:val="-2"/>
                <w:sz w:val="20"/>
                <w:lang w:val="fr-FR"/>
              </w:rPr>
              <w:t>Professionnel</w:t>
            </w:r>
          </w:p>
        </w:tc>
        <w:tc>
          <w:tcPr>
            <w:tcW w:w="462"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2105</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r>
              <w:rPr>
                <w:rFonts w:ascii="Book Antiqua" w:hAnsi="Book Antiqua" w:cs="Book Antiqua"/>
                <w:color w:val="000000"/>
              </w:rPr>
              <w:t>Electricité R</w:t>
            </w:r>
          </w:p>
        </w:tc>
        <w:tc>
          <w:tcPr>
            <w:tcW w:w="51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2112</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Electricien Installateur/Electricienne Installatrice en résidentiel R</w:t>
            </w:r>
          </w:p>
        </w:tc>
      </w:tr>
      <w:tr>
        <w:trPr>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2113</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 xml:space="preserve">Electricien Installeur industriel/Electricienne Installatrice industrielle R </w:t>
            </w:r>
          </w:p>
        </w:tc>
      </w:tr>
      <w:tr>
        <w:trPr>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2115</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Installateur Electricien / Installatrice Electricienne (D2 – 4e CPU)</w:t>
            </w:r>
          </w:p>
        </w:tc>
      </w:tr>
      <w:tr>
        <w:trPr>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2315</w:t>
            </w:r>
          </w:p>
        </w:tc>
        <w:tc>
          <w:tcPr>
            <w:tcW w:w="175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Mécanique polyvalente R</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2218</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Assistant/Assistante de maintenance PC – réseaux R2</w:t>
            </w:r>
          </w:p>
        </w:tc>
      </w:tr>
      <w:tr>
        <w:trPr>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2323</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Electroménager et matériel de bureau NP</w:t>
            </w:r>
          </w:p>
        </w:tc>
      </w:tr>
      <w:tr>
        <w:trPr>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2318</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r>
              <w:rPr>
                <w:rFonts w:ascii="Book Antiqua" w:hAnsi="Book Antiqua" w:cs="Book Antiqua"/>
                <w:color w:val="000000"/>
              </w:rPr>
              <w:t>Imprimerie R</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2331</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Mécanicien/Mécanicienne en cycles R</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2323</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Electroménager et matériel de bureau NP </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2326</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Opérateur/Opératrice en industrie graphique R</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2507</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r>
              <w:rPr>
                <w:rFonts w:ascii="Book Antiqua" w:hAnsi="Book Antiqua" w:cs="Book Antiqua"/>
                <w:color w:val="000000"/>
              </w:rPr>
              <w:t>Mécanique garage R</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2332</w:t>
            </w:r>
          </w:p>
          <w:p>
            <w:pPr>
              <w:tabs>
                <w:tab w:val="center" w:pos="4513"/>
              </w:tabs>
              <w:snapToGrid w:val="0"/>
              <w:rPr>
                <w:rFonts w:ascii="Book Antiqua" w:hAnsi="Book Antiqua" w:cs="Book Antiqua"/>
                <w:color w:val="000000"/>
                <w:spacing w:val="-2"/>
              </w:rPr>
            </w:pP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2334</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rPr>
            </w:pPr>
            <w:r>
              <w:rPr>
                <w:rFonts w:ascii="Book Antiqua" w:hAnsi="Book Antiqua"/>
              </w:rPr>
              <w:t>Mécanicien/Mécanicienne d’entretien automobile R</w:t>
            </w:r>
          </w:p>
          <w:p>
            <w:pPr>
              <w:tabs>
                <w:tab w:val="left" w:pos="708"/>
              </w:tabs>
              <w:snapToGrid w:val="0"/>
              <w:rPr>
                <w:rFonts w:ascii="Book Antiqua" w:hAnsi="Book Antiqua" w:cs="Book Antiqua"/>
                <w:color w:val="000000"/>
                <w:spacing w:val="-2"/>
              </w:rPr>
            </w:pPr>
            <w:r>
              <w:rPr>
                <w:rFonts w:ascii="Book Antiqua" w:hAnsi="Book Antiqua"/>
              </w:rPr>
              <w:t>Mécanicien/Mécanicienne d’entretien automobile (D2 – 4</w:t>
            </w:r>
            <w:r>
              <w:rPr>
                <w:rFonts w:ascii="Book Antiqua" w:hAnsi="Book Antiqua"/>
                <w:vertAlign w:val="superscript"/>
              </w:rPr>
              <w:t>e</w:t>
            </w:r>
            <w:r>
              <w:rPr>
                <w:rFonts w:ascii="Book Antiqua" w:hAnsi="Book Antiqua"/>
              </w:rPr>
              <w:t xml:space="preserve"> CPU)</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2605</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Armurerie R2</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2325</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sz w:val="24"/>
              </w:rPr>
            </w:pPr>
            <w:r>
              <w:rPr>
                <w:rFonts w:ascii="Book Antiqua" w:hAnsi="Book Antiqua"/>
              </w:rPr>
              <w:t>Mécanicien/Mécanicienne d’entretien</w:t>
            </w:r>
            <w:r>
              <w:rPr>
                <w:rFonts w:ascii="Book Antiqua" w:hAnsi="Book Antiqua" w:cs="Book Antiqua"/>
                <w:color w:val="000000"/>
                <w:spacing w:val="-2"/>
              </w:rPr>
              <w:t xml:space="preserve"> R</w:t>
            </w:r>
            <w:r>
              <w:rPr>
                <w:rFonts w:ascii="Book Antiqua" w:hAnsi="Book Antiqua"/>
              </w:rPr>
              <w:t xml:space="preserve"> </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lang w:val="nl-NL"/>
              </w:rPr>
            </w:pPr>
            <w:r>
              <w:rPr>
                <w:rFonts w:ascii="Book Antiqua" w:hAnsi="Book Antiqua" w:cs="Book Antiqua"/>
                <w:color w:val="000000"/>
                <w:spacing w:val="-2"/>
                <w:lang w:val="nl-NL"/>
              </w:rPr>
              <w:t>2607</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lang w:val="nl-NL"/>
              </w:rPr>
            </w:pPr>
            <w:r>
              <w:rPr>
                <w:rFonts w:ascii="Book Antiqua" w:hAnsi="Book Antiqua" w:cs="Book Antiqua"/>
                <w:color w:val="000000"/>
                <w:spacing w:val="-2"/>
                <w:lang w:val="nl-NL"/>
              </w:rPr>
              <w:t>Horlogerie R2</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2619</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Conducteur/Conductrice poids lourds R2</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2612</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Batellerie R2</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2623</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Batelier/Batelière R2</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lang w:val="nl-NL"/>
              </w:rPr>
            </w:pPr>
            <w:r>
              <w:rPr>
                <w:rFonts w:ascii="Book Antiqua" w:hAnsi="Book Antiqua" w:cs="Book Antiqua"/>
                <w:color w:val="000000"/>
                <w:spacing w:val="-2"/>
                <w:lang w:val="nl-NL"/>
              </w:rPr>
              <w:t>2624</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lang w:val="nl-NL"/>
              </w:rPr>
            </w:pPr>
            <w:r>
              <w:rPr>
                <w:rFonts w:ascii="Book Antiqua" w:hAnsi="Book Antiqua" w:cs="Book Antiqua"/>
                <w:color w:val="000000"/>
                <w:spacing w:val="-2"/>
                <w:lang w:val="nl-NL"/>
              </w:rPr>
              <w:t>Horloger/</w:t>
            </w:r>
            <w:proofErr w:type="spellStart"/>
            <w:r>
              <w:rPr>
                <w:rFonts w:ascii="Book Antiqua" w:hAnsi="Book Antiqua" w:cs="Book Antiqua"/>
                <w:color w:val="000000"/>
                <w:spacing w:val="-2"/>
                <w:lang w:val="nl-NL"/>
              </w:rPr>
              <w:t>Horlogère</w:t>
            </w:r>
            <w:proofErr w:type="spellEnd"/>
            <w:r>
              <w:rPr>
                <w:rFonts w:ascii="Book Antiqua" w:hAnsi="Book Antiqua" w:cs="Book Antiqua"/>
                <w:color w:val="000000"/>
                <w:spacing w:val="-2"/>
                <w:lang w:val="nl-NL"/>
              </w:rPr>
              <w:t xml:space="preserve"> R2</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2625</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 xml:space="preserve">Métallier soudeur/Métallière soudeuse R </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2621</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Armurier/Armurière R2</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2634</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Conducteur / Conductrice d’autobus et d’autocar R2</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2643</w:t>
            </w:r>
          </w:p>
        </w:tc>
        <w:tc>
          <w:tcPr>
            <w:tcW w:w="4054" w:type="dxa"/>
            <w:tcBorders>
              <w:top w:val="single" w:sz="4" w:space="0" w:color="000000"/>
              <w:left w:val="single" w:sz="4" w:space="0" w:color="000000"/>
              <w:bottom w:val="single" w:sz="4" w:space="0" w:color="000000"/>
              <w:right w:val="single" w:sz="4" w:space="0" w:color="000000"/>
            </w:tcBorders>
          </w:tcPr>
          <w:p>
            <w:pPr>
              <w:pStyle w:val="Document1"/>
              <w:keepLines w:val="0"/>
              <w:tabs>
                <w:tab w:val="left" w:pos="708"/>
              </w:tabs>
              <w:snapToGrid w:val="0"/>
              <w:rPr>
                <w:rFonts w:ascii="Book Antiqua" w:hAnsi="Book Antiqua" w:cs="Book Antiqua"/>
                <w:color w:val="000000"/>
                <w:spacing w:val="-2"/>
                <w:sz w:val="20"/>
                <w:lang w:val="fr-BE"/>
              </w:rPr>
            </w:pPr>
            <w:r>
              <w:rPr>
                <w:rFonts w:ascii="Book Antiqua" w:hAnsi="Book Antiqua" w:cs="Book Antiqua"/>
                <w:color w:val="000000"/>
                <w:spacing w:val="-2"/>
                <w:sz w:val="20"/>
                <w:lang w:val="fr-FR"/>
              </w:rPr>
              <w:t>Mécanicien/Mécanicienne pour matériel de parcs, jardins et espaces verts</w:t>
            </w:r>
            <w:r>
              <w:rPr>
                <w:rFonts w:ascii="Book Antiqua" w:hAnsi="Book Antiqua" w:cs="Book Antiqua"/>
                <w:color w:val="000000"/>
                <w:spacing w:val="-2"/>
                <w:sz w:val="20"/>
                <w:szCs w:val="20"/>
                <w:lang w:val="fr-BE"/>
              </w:rPr>
              <w:t xml:space="preserve"> R</w:t>
            </w:r>
          </w:p>
        </w:tc>
      </w:tr>
      <w:tr>
        <w:trPr>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pStyle w:val="Notedebasdepage"/>
              <w:tabs>
                <w:tab w:val="center" w:pos="4513"/>
              </w:tabs>
              <w:snapToGrid w:val="0"/>
              <w:rPr>
                <w:rFonts w:ascii="Book Antiqua" w:hAnsi="Book Antiqua" w:cs="Book Antiqua"/>
                <w:color w:val="000000"/>
                <w:spacing w:val="-2"/>
              </w:rPr>
            </w:pPr>
            <w:r>
              <w:rPr>
                <w:rFonts w:ascii="Book Antiqua" w:hAnsi="Book Antiqua" w:cs="Book Antiqua"/>
                <w:color w:val="000000"/>
                <w:spacing w:val="-2"/>
              </w:rPr>
              <w:t>2707</w:t>
            </w:r>
          </w:p>
        </w:tc>
        <w:tc>
          <w:tcPr>
            <w:tcW w:w="4054" w:type="dxa"/>
            <w:tcBorders>
              <w:top w:val="single" w:sz="4" w:space="0" w:color="000000"/>
              <w:left w:val="single" w:sz="4" w:space="0" w:color="000000"/>
              <w:bottom w:val="single" w:sz="4" w:space="0" w:color="000000"/>
              <w:right w:val="single" w:sz="4" w:space="0" w:color="000000"/>
            </w:tcBorders>
          </w:tcPr>
          <w:p>
            <w:pPr>
              <w:pStyle w:val="Document1"/>
              <w:keepLines w:val="0"/>
              <w:tabs>
                <w:tab w:val="left" w:pos="708"/>
              </w:tabs>
              <w:snapToGrid w:val="0"/>
              <w:rPr>
                <w:rFonts w:ascii="Book Antiqua" w:hAnsi="Book Antiqua" w:cs="Book Antiqua"/>
                <w:color w:val="000000"/>
                <w:spacing w:val="-2"/>
                <w:sz w:val="20"/>
                <w:lang w:val="fr-FR"/>
              </w:rPr>
            </w:pPr>
            <w:r>
              <w:rPr>
                <w:rFonts w:ascii="Book Antiqua" w:hAnsi="Book Antiqua" w:cs="Book Antiqua"/>
                <w:color w:val="000000"/>
                <w:spacing w:val="-2"/>
                <w:sz w:val="20"/>
                <w:lang w:val="fr-FR"/>
              </w:rPr>
              <w:t>Carrossier/Carrossière</w:t>
            </w:r>
            <w:r>
              <w:rPr>
                <w:rFonts w:ascii="Book Antiqua" w:hAnsi="Book Antiqua" w:cs="Book Antiqua"/>
                <w:color w:val="000000"/>
                <w:spacing w:val="-2"/>
                <w:sz w:val="20"/>
                <w:szCs w:val="20"/>
              </w:rPr>
              <w:t xml:space="preserve"> R</w:t>
            </w:r>
          </w:p>
        </w:tc>
      </w:tr>
    </w:tbl>
    <w:p>
      <w:pPr>
        <w:pageBreakBefore/>
        <w:rPr>
          <w:color w:val="000000"/>
        </w:rPr>
      </w:pPr>
    </w:p>
    <w:tbl>
      <w:tblPr>
        <w:tblW w:w="9644" w:type="dxa"/>
        <w:tblInd w:w="70" w:type="dxa"/>
        <w:tblLayout w:type="fixed"/>
        <w:tblCellMar>
          <w:left w:w="70" w:type="dxa"/>
          <w:right w:w="70" w:type="dxa"/>
        </w:tblCellMar>
        <w:tblLook w:val="0000" w:firstRow="0" w:lastRow="0" w:firstColumn="0" w:lastColumn="0" w:noHBand="0" w:noVBand="0"/>
      </w:tblPr>
      <w:tblGrid>
        <w:gridCol w:w="1559"/>
        <w:gridCol w:w="425"/>
        <w:gridCol w:w="598"/>
        <w:gridCol w:w="2730"/>
        <w:gridCol w:w="567"/>
        <w:gridCol w:w="709"/>
        <w:gridCol w:w="3036"/>
        <w:gridCol w:w="20"/>
      </w:tblGrid>
      <w:tr>
        <w:trPr>
          <w:cantSplit/>
          <w:trHeight w:val="271"/>
        </w:trPr>
        <w:tc>
          <w:tcPr>
            <w:tcW w:w="9644" w:type="dxa"/>
            <w:gridSpan w:val="8"/>
            <w:tcBorders>
              <w:top w:val="single" w:sz="4" w:space="0" w:color="auto"/>
              <w:left w:val="single" w:sz="4" w:space="0" w:color="auto"/>
              <w:bottom w:val="single" w:sz="4" w:space="0" w:color="auto"/>
              <w:right w:val="single" w:sz="4" w:space="0" w:color="auto"/>
            </w:tcBorders>
          </w:tcPr>
          <w:p>
            <w:pPr>
              <w:tabs>
                <w:tab w:val="left" w:pos="708"/>
              </w:tabs>
              <w:snapToGrid w:val="0"/>
              <w:jc w:val="center"/>
              <w:rPr>
                <w:rFonts w:ascii="Book Antiqua" w:hAnsi="Book Antiqua" w:cs="Book Antiqua"/>
                <w:b/>
                <w:color w:val="000000"/>
                <w:sz w:val="24"/>
              </w:rPr>
            </w:pPr>
            <w:r>
              <w:rPr>
                <w:rFonts w:ascii="Book Antiqua" w:hAnsi="Book Antiqua" w:cs="Book Antiqua"/>
                <w:b/>
                <w:color w:val="000000"/>
                <w:sz w:val="24"/>
              </w:rPr>
              <w:t>Secteur 3 : Construction</w:t>
            </w:r>
          </w:p>
        </w:tc>
      </w:tr>
      <w:tr>
        <w:trPr>
          <w:gridAfter w:val="1"/>
          <w:wAfter w:w="20" w:type="dxa"/>
          <w:cantSplit/>
          <w:trHeight w:val="67"/>
        </w:trPr>
        <w:tc>
          <w:tcPr>
            <w:tcW w:w="1559"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lang w:val="fr-FR"/>
              </w:rPr>
            </w:pPr>
            <w:r>
              <w:rPr>
                <w:rFonts w:ascii="Book Antiqua" w:hAnsi="Book Antiqua" w:cs="Book Antiqua"/>
                <w:b/>
                <w:color w:val="000000"/>
                <w:spacing w:val="-2"/>
                <w:sz w:val="20"/>
                <w:lang w:val="fr-FR"/>
              </w:rPr>
              <w:t>Enseignement</w:t>
            </w:r>
          </w:p>
          <w:p>
            <w:pPr>
              <w:pStyle w:val="Document1"/>
              <w:tabs>
                <w:tab w:val="center" w:pos="4513"/>
              </w:tabs>
              <w:rPr>
                <w:rFonts w:ascii="Book Antiqua" w:hAnsi="Book Antiqua" w:cs="Book Antiqua"/>
                <w:b/>
                <w:color w:val="000000"/>
                <w:spacing w:val="-2"/>
                <w:sz w:val="20"/>
                <w:lang w:val="fr-FR"/>
              </w:rPr>
            </w:pPr>
            <w:r>
              <w:rPr>
                <w:rFonts w:ascii="Book Antiqua" w:hAnsi="Book Antiqua" w:cs="Book Antiqua"/>
                <w:b/>
                <w:color w:val="000000"/>
                <w:spacing w:val="-2"/>
                <w:sz w:val="20"/>
                <w:lang w:val="fr-FR"/>
              </w:rPr>
              <w:t>Technique</w:t>
            </w:r>
          </w:p>
        </w:tc>
        <w:tc>
          <w:tcPr>
            <w:tcW w:w="425"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3122</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des industries du bois R2</w:t>
            </w:r>
          </w:p>
        </w:tc>
      </w:tr>
      <w:tr>
        <w:trPr>
          <w:gridAfter w:val="1"/>
          <w:wAfter w:w="20" w:type="dxa"/>
          <w:cantSplit/>
          <w:trHeight w:val="67"/>
        </w:trPr>
        <w:tc>
          <w:tcPr>
            <w:tcW w:w="1559" w:type="dxa"/>
            <w:vMerge/>
            <w:tcBorders>
              <w:top w:val="single" w:sz="4" w:space="0" w:color="auto"/>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3223</w:t>
            </w:r>
          </w:p>
        </w:tc>
        <w:tc>
          <w:tcPr>
            <w:tcW w:w="3036" w:type="dxa"/>
            <w:tcBorders>
              <w:top w:val="single" w:sz="4" w:space="0" w:color="auto"/>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construction et travaux publics R </w:t>
            </w:r>
          </w:p>
        </w:tc>
      </w:tr>
      <w:tr>
        <w:trPr>
          <w:gridAfter w:val="1"/>
          <w:wAfter w:w="20" w:type="dxa"/>
          <w:cantSplit/>
          <w:trHeight w:val="67"/>
        </w:trPr>
        <w:tc>
          <w:tcPr>
            <w:tcW w:w="1559"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9"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3221</w:t>
            </w:r>
          </w:p>
        </w:tc>
        <w:tc>
          <w:tcPr>
            <w:tcW w:w="3036"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Dessinateur/Dessinatrice en construction R2</w:t>
            </w:r>
          </w:p>
        </w:tc>
      </w:tr>
      <w:tr>
        <w:trPr>
          <w:gridAfter w:val="1"/>
          <w:wAfter w:w="20" w:type="dxa"/>
          <w:cantSplit/>
          <w:trHeight w:val="67"/>
        </w:trPr>
        <w:tc>
          <w:tcPr>
            <w:tcW w:w="1559" w:type="dxa"/>
            <w:vMerge/>
            <w:tcBorders>
              <w:top w:val="single" w:sz="4" w:space="0" w:color="000000"/>
              <w:left w:val="single" w:sz="4" w:space="0" w:color="000000"/>
              <w:bottom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3424</w:t>
            </w:r>
          </w:p>
        </w:tc>
        <w:tc>
          <w:tcPr>
            <w:tcW w:w="3036" w:type="dxa"/>
            <w:tcBorders>
              <w:top w:val="single" w:sz="4" w:space="0" w:color="000000"/>
              <w:left w:val="single" w:sz="4" w:space="0" w:color="000000"/>
              <w:bottom w:val="single" w:sz="4" w:space="0" w:color="auto"/>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équipements thermiques R</w:t>
            </w:r>
          </w:p>
        </w:tc>
      </w:tr>
      <w:tr>
        <w:trPr>
          <w:gridAfter w:val="1"/>
          <w:wAfter w:w="20" w:type="dxa"/>
          <w:cantSplit/>
          <w:trHeight w:val="67"/>
        </w:trPr>
        <w:tc>
          <w:tcPr>
            <w:tcW w:w="1559"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lang w:val="fr-FR"/>
              </w:rPr>
            </w:pPr>
            <w:r>
              <w:rPr>
                <w:rFonts w:ascii="Book Antiqua" w:hAnsi="Book Antiqua" w:cs="Book Antiqua"/>
                <w:b/>
                <w:color w:val="000000"/>
                <w:spacing w:val="-2"/>
                <w:sz w:val="20"/>
                <w:lang w:val="fr-FR"/>
              </w:rPr>
              <w:t>Enseignement</w:t>
            </w:r>
          </w:p>
          <w:p>
            <w:pPr>
              <w:pStyle w:val="Document1"/>
              <w:tabs>
                <w:tab w:val="center" w:pos="4513"/>
              </w:tabs>
              <w:rPr>
                <w:rFonts w:ascii="Book Antiqua" w:hAnsi="Book Antiqua" w:cs="Book Antiqua"/>
                <w:b/>
                <w:color w:val="000000"/>
                <w:spacing w:val="-2"/>
                <w:sz w:val="20"/>
                <w:lang w:val="fr-FR"/>
              </w:rPr>
            </w:pPr>
            <w:r>
              <w:rPr>
                <w:rFonts w:ascii="Book Antiqua" w:hAnsi="Book Antiqua" w:cs="Book Antiqua"/>
                <w:b/>
                <w:color w:val="000000"/>
                <w:spacing w:val="-2"/>
                <w:sz w:val="20"/>
                <w:lang w:val="fr-FR"/>
              </w:rPr>
              <w:t>Professionnel</w:t>
            </w:r>
          </w:p>
        </w:tc>
        <w:tc>
          <w:tcPr>
            <w:tcW w:w="425"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598" w:type="dxa"/>
            <w:vMerge w:val="restart"/>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3102</w:t>
            </w:r>
          </w:p>
        </w:tc>
        <w:tc>
          <w:tcPr>
            <w:tcW w:w="2730" w:type="dxa"/>
            <w:vMerge w:val="restart"/>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Bois R</w:t>
            </w:r>
          </w:p>
        </w:tc>
        <w:tc>
          <w:tcPr>
            <w:tcW w:w="567" w:type="dxa"/>
            <w:vMerge w:val="restart"/>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D3</w:t>
            </w: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3118</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3135</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Menuisier/Menuisière R</w:t>
            </w:r>
          </w:p>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Menuisier/Menuisière d’intérieur et d’extérieur (D2-4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3121</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Sculpteur/Sculptrice sur bois R2</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3117</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Ebéniste R²</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3229</w:t>
            </w:r>
          </w:p>
          <w:p>
            <w:pPr>
              <w:tabs>
                <w:tab w:val="center" w:pos="4513"/>
              </w:tabs>
              <w:snapToGrid w:val="0"/>
              <w:rPr>
                <w:rFonts w:ascii="Book Antiqua" w:hAnsi="Book Antiqua" w:cs="Book Antiqua"/>
                <w:color w:val="000000"/>
                <w:spacing w:val="-2"/>
              </w:rPr>
            </w:pP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3230</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 xml:space="preserve">Couvreur étancheur / Couvreuse étancheuse R </w:t>
            </w:r>
          </w:p>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Couvreur Etancheur / Couvreuse Etancheuse (D2 - 4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3311</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 xml:space="preserve">Maçon/Maçonne </w:t>
            </w:r>
          </w:p>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 </w:t>
            </w:r>
            <w:r>
              <w:rPr>
                <w:rStyle w:val="Appelnotedebasdep"/>
                <w:rFonts w:ascii="Book Antiqua" w:hAnsi="Book Antiqua"/>
                <w:color w:val="000000"/>
                <w:spacing w:val="-2"/>
              </w:rPr>
              <w:footnoteReference w:id="191"/>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3208</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Conducteur/Conductrice d'engins de chantier R2</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3303</w:t>
            </w:r>
          </w:p>
        </w:tc>
        <w:tc>
          <w:tcPr>
            <w:tcW w:w="273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Construction - Gros œuvre R</w:t>
            </w: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3302</w:t>
            </w:r>
          </w:p>
          <w:p>
            <w:pPr>
              <w:tabs>
                <w:tab w:val="center" w:pos="4513"/>
              </w:tabs>
              <w:snapToGrid w:val="0"/>
              <w:rPr>
                <w:rFonts w:ascii="Book Antiqua" w:hAnsi="Book Antiqua" w:cs="Book Antiqua"/>
                <w:color w:val="000000"/>
                <w:spacing w:val="-2"/>
              </w:rPr>
            </w:pPr>
          </w:p>
          <w:p>
            <w:pPr>
              <w:tabs>
                <w:tab w:val="center" w:pos="4513"/>
              </w:tabs>
              <w:snapToGrid w:val="0"/>
              <w:rPr>
                <w:rFonts w:ascii="Book Antiqua" w:hAnsi="Book Antiqua" w:cs="Book Antiqua"/>
                <w:color w:val="000000"/>
                <w:spacing w:val="-2"/>
              </w:rPr>
            </w:pPr>
          </w:p>
          <w:p>
            <w:pPr>
              <w:tabs>
                <w:tab w:val="center" w:pos="4513"/>
              </w:tabs>
              <w:snapToGrid w:val="0"/>
              <w:rPr>
                <w:rFonts w:ascii="Book Antiqua" w:hAnsi="Book Antiqua" w:cs="Book Antiqua"/>
                <w:color w:val="000000"/>
                <w:spacing w:val="-2"/>
              </w:rPr>
            </w:pP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Ouvrier qualifié/Ouvrière qualifiée en construction – gros œuvre R</w:t>
            </w:r>
          </w:p>
          <w:p>
            <w:pPr>
              <w:tabs>
                <w:tab w:val="left" w:pos="708"/>
              </w:tabs>
              <w:snapToGrid w:val="0"/>
              <w:rPr>
                <w:rFonts w:ascii="Book Antiqua" w:hAnsi="Book Antiqua" w:cs="Book Antiqua"/>
                <w:color w:val="000000"/>
                <w:spacing w:val="-2"/>
              </w:rPr>
            </w:pP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3301</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Tailleur de pierre – marbrier/ Tailleuse de pierre - marbrière R2</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3416</w:t>
            </w:r>
          </w:p>
        </w:tc>
        <w:tc>
          <w:tcPr>
            <w:tcW w:w="273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Equipement du bâtiment R</w:t>
            </w: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3423</w:t>
            </w:r>
          </w:p>
          <w:p>
            <w:pPr>
              <w:tabs>
                <w:tab w:val="center" w:pos="4513"/>
              </w:tabs>
              <w:snapToGrid w:val="0"/>
              <w:rPr>
                <w:rFonts w:ascii="Book Antiqua" w:hAnsi="Book Antiqua" w:cs="Book Antiqua"/>
                <w:color w:val="000000"/>
                <w:spacing w:val="-2"/>
              </w:rPr>
            </w:pP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3429</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Monteur/Monteuse en sanitaire et en chauffage R</w:t>
            </w:r>
          </w:p>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Monteur/Monteuse en chauffage et en sanitaire (D2-4</w:t>
            </w:r>
            <w:r>
              <w:rPr>
                <w:rFonts w:ascii="Book Antiqua" w:hAnsi="Book Antiqua" w:cs="Book Antiqua"/>
                <w:color w:val="000000"/>
                <w:spacing w:val="-2"/>
                <w:vertAlign w:val="superscript"/>
              </w:rPr>
              <w:t>e</w:t>
            </w:r>
            <w:r>
              <w:rPr>
                <w:rFonts w:ascii="Book Antiqua" w:hAnsi="Book Antiqua" w:cs="Book Antiqua"/>
                <w:color w:val="000000"/>
                <w:spacing w:val="-2"/>
              </w:rPr>
              <w:t>CPU)</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3507</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3521</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 xml:space="preserve">Carreleur/Carreleuse R </w:t>
            </w:r>
          </w:p>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Carreleur/Carreleuse Chapiste (D2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3501</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3522</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Plafonneur/Plafonneuse R Plafonneur Cimentier / Plafonneuse Cimentière (D2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3509</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3520</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Peintre R</w:t>
            </w:r>
          </w:p>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Peintre Décorateur / Peintre Décoratrice (D2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3517</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Vitrier / Vitrière R</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7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67"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9"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3511</w:t>
            </w:r>
          </w:p>
        </w:tc>
        <w:tc>
          <w:tcPr>
            <w:tcW w:w="3036"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Tapissier garnisseur/Tapissière garnisseuse R</w:t>
            </w:r>
          </w:p>
        </w:tc>
      </w:tr>
    </w:tbl>
    <w:p>
      <w:r>
        <w:br w:type="page"/>
      </w:r>
    </w:p>
    <w:tbl>
      <w:tblPr>
        <w:tblW w:w="9644" w:type="dxa"/>
        <w:tblInd w:w="70" w:type="dxa"/>
        <w:tblLayout w:type="fixed"/>
        <w:tblCellMar>
          <w:left w:w="70" w:type="dxa"/>
          <w:right w:w="70" w:type="dxa"/>
        </w:tblCellMar>
        <w:tblLook w:val="0000" w:firstRow="0" w:lastRow="0" w:firstColumn="0" w:lastColumn="0" w:noHBand="0" w:noVBand="0"/>
      </w:tblPr>
      <w:tblGrid>
        <w:gridCol w:w="1417"/>
        <w:gridCol w:w="142"/>
        <w:gridCol w:w="320"/>
        <w:gridCol w:w="105"/>
        <w:gridCol w:w="598"/>
        <w:gridCol w:w="2971"/>
        <w:gridCol w:w="516"/>
        <w:gridCol w:w="675"/>
        <w:gridCol w:w="2880"/>
        <w:gridCol w:w="20"/>
      </w:tblGrid>
      <w:tr>
        <w:trPr>
          <w:cantSplit/>
          <w:trHeight w:val="67"/>
        </w:trPr>
        <w:tc>
          <w:tcPr>
            <w:tcW w:w="9644" w:type="dxa"/>
            <w:gridSpan w:val="10"/>
            <w:tcBorders>
              <w:top w:val="single" w:sz="4" w:space="0" w:color="auto"/>
              <w:left w:val="single" w:sz="4" w:space="0" w:color="auto"/>
              <w:bottom w:val="single" w:sz="4" w:space="0" w:color="auto"/>
              <w:right w:val="single" w:sz="4" w:space="0" w:color="auto"/>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lastRenderedPageBreak/>
              <w:t>Secteur 4 : Hôtellerie-Alimentation</w:t>
            </w:r>
          </w:p>
        </w:tc>
      </w:tr>
      <w:tr>
        <w:trPr>
          <w:gridAfter w:val="1"/>
          <w:wAfter w:w="20" w:type="dxa"/>
          <w:cantSplit/>
          <w:trHeight w:val="67"/>
        </w:trPr>
        <w:tc>
          <w:tcPr>
            <w:tcW w:w="1559" w:type="dxa"/>
            <w:gridSpan w:val="2"/>
            <w:tcBorders>
              <w:top w:val="single" w:sz="4" w:space="0" w:color="auto"/>
              <w:left w:val="single" w:sz="4" w:space="0" w:color="auto"/>
              <w:bottom w:val="single" w:sz="4" w:space="0" w:color="auto"/>
              <w:right w:val="single" w:sz="4" w:space="0" w:color="auto"/>
            </w:tcBorders>
          </w:tcPr>
          <w:p>
            <w:pPr>
              <w:snapToGrid w:val="0"/>
              <w:rPr>
                <w:rFonts w:ascii="Book Antiqua" w:hAnsi="Book Antiqua" w:cs="Book Antiqua"/>
                <w:b/>
                <w:color w:val="000000"/>
              </w:rPr>
            </w:pPr>
            <w:r>
              <w:rPr>
                <w:rFonts w:ascii="Book Antiqua" w:hAnsi="Book Antiqua" w:cs="Book Antiqua"/>
                <w:b/>
                <w:color w:val="000000"/>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25"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4118</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Hôtelier-restaurateur/Hôtelière-restauratrice R2</w:t>
            </w:r>
          </w:p>
        </w:tc>
      </w:tr>
      <w:tr>
        <w:trPr>
          <w:gridAfter w:val="1"/>
          <w:wAfter w:w="20" w:type="dxa"/>
          <w:cantSplit/>
          <w:trHeight w:val="67"/>
        </w:trPr>
        <w:tc>
          <w:tcPr>
            <w:tcW w:w="1559" w:type="dxa"/>
            <w:gridSpan w:val="2"/>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25"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4117</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Cuisine et salle R2</w:t>
            </w: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4116</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4131</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Restaurateur/Restauratrice R2</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Restaurateur/Restauratrice(D2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gridAfter w:val="1"/>
          <w:wAfter w:w="20" w:type="dxa"/>
          <w:cantSplit/>
          <w:trHeight w:val="67"/>
        </w:trPr>
        <w:tc>
          <w:tcPr>
            <w:tcW w:w="1559" w:type="dxa"/>
            <w:gridSpan w:val="2"/>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4203</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Boucherie-charcuterie R2</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4128</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Cuisinier/Cuisinière de collectivité R</w:t>
            </w:r>
          </w:p>
        </w:tc>
      </w:tr>
      <w:tr>
        <w:trPr>
          <w:gridAfter w:val="1"/>
          <w:wAfter w:w="20" w:type="dxa"/>
          <w:cantSplit/>
          <w:trHeight w:val="67"/>
        </w:trPr>
        <w:tc>
          <w:tcPr>
            <w:tcW w:w="1559" w:type="dxa"/>
            <w:gridSpan w:val="2"/>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4301</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Boulangerie-pâtisserie R2</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4205</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Boucher-charcutier/Bouchère - charcutière R2</w:t>
            </w:r>
          </w:p>
        </w:tc>
      </w:tr>
      <w:tr>
        <w:trPr>
          <w:gridAfter w:val="1"/>
          <w:wAfter w:w="20" w:type="dxa"/>
          <w:cantSplit/>
          <w:trHeight w:val="67"/>
        </w:trPr>
        <w:tc>
          <w:tcPr>
            <w:tcW w:w="1559" w:type="dxa"/>
            <w:gridSpan w:val="2"/>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4310</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Boulanger – Pâtissier/Boulangère - Pâtissière R2</w:t>
            </w:r>
          </w:p>
        </w:tc>
      </w:tr>
      <w:tr>
        <w:trPr>
          <w:cantSplit/>
          <w:trHeight w:val="67"/>
        </w:trPr>
        <w:tc>
          <w:tcPr>
            <w:tcW w:w="9644" w:type="dxa"/>
            <w:gridSpan w:val="10"/>
            <w:tcBorders>
              <w:top w:val="single" w:sz="4" w:space="0" w:color="auto"/>
              <w:left w:val="single" w:sz="4" w:space="0" w:color="auto"/>
              <w:bottom w:val="single" w:sz="4" w:space="0" w:color="auto"/>
              <w:right w:val="single" w:sz="4" w:space="0" w:color="auto"/>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5 : Habillement et textile</w:t>
            </w:r>
          </w:p>
        </w:tc>
      </w:tr>
      <w:tr>
        <w:trPr>
          <w:gridAfter w:val="1"/>
          <w:wAfter w:w="20" w:type="dxa"/>
          <w:cantSplit/>
          <w:trHeight w:val="67"/>
        </w:trPr>
        <w:tc>
          <w:tcPr>
            <w:tcW w:w="1559" w:type="dxa"/>
            <w:gridSpan w:val="2"/>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25"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5102</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Conducteur/Conductrice de machines de fabrication de produits textiles R2</w:t>
            </w:r>
          </w:p>
        </w:tc>
      </w:tr>
      <w:tr>
        <w:trPr>
          <w:gridAfter w:val="1"/>
          <w:wAfter w:w="20" w:type="dxa"/>
          <w:cantSplit/>
          <w:trHeight w:val="67"/>
        </w:trPr>
        <w:tc>
          <w:tcPr>
            <w:tcW w:w="1559" w:type="dxa"/>
            <w:gridSpan w:val="2"/>
            <w:vMerge/>
            <w:tcBorders>
              <w:top w:val="single" w:sz="4" w:space="0" w:color="auto"/>
              <w:left w:val="single" w:sz="4" w:space="0" w:color="000000"/>
              <w:bottom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gridSpan w:val="2"/>
            <w:vMerge/>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5207</w:t>
            </w:r>
          </w:p>
        </w:tc>
        <w:tc>
          <w:tcPr>
            <w:tcW w:w="2880" w:type="dxa"/>
            <w:tcBorders>
              <w:top w:val="single" w:sz="4" w:space="0" w:color="auto"/>
              <w:left w:val="single" w:sz="4" w:space="0" w:color="000000"/>
              <w:bottom w:val="single" w:sz="4" w:space="0" w:color="auto"/>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Agent/Agente technique en mode et création R</w:t>
            </w:r>
          </w:p>
        </w:tc>
      </w:tr>
      <w:tr>
        <w:trPr>
          <w:gridAfter w:val="1"/>
          <w:wAfter w:w="20" w:type="dxa"/>
          <w:cantSplit/>
          <w:trHeight w:val="67"/>
        </w:trPr>
        <w:tc>
          <w:tcPr>
            <w:tcW w:w="1559" w:type="dxa"/>
            <w:gridSpan w:val="2"/>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25"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5228</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Confection R</w:t>
            </w: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5227</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 qualifié/Agente qualifiée en confection R</w:t>
            </w:r>
          </w:p>
        </w:tc>
      </w:tr>
      <w:tr>
        <w:trPr>
          <w:gridAfter w:val="1"/>
          <w:wAfter w:w="20" w:type="dxa"/>
          <w:cantSplit/>
          <w:trHeight w:val="67"/>
        </w:trPr>
        <w:tc>
          <w:tcPr>
            <w:tcW w:w="1559" w:type="dxa"/>
            <w:gridSpan w:val="2"/>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5231</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Vendeur retoucheur/Vendeuse retoucheuse R</w:t>
            </w:r>
          </w:p>
        </w:tc>
      </w:tr>
      <w:tr>
        <w:trPr>
          <w:cantSplit/>
          <w:trHeight w:val="67"/>
        </w:trPr>
        <w:tc>
          <w:tcPr>
            <w:tcW w:w="9644" w:type="dxa"/>
            <w:gridSpan w:val="10"/>
            <w:tcBorders>
              <w:top w:val="single" w:sz="4" w:space="0" w:color="auto"/>
              <w:left w:val="single" w:sz="4" w:space="0" w:color="auto"/>
              <w:bottom w:val="single" w:sz="4" w:space="0" w:color="auto"/>
              <w:right w:val="single" w:sz="4" w:space="0" w:color="auto"/>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6 : Arts appliqués</w:t>
            </w:r>
          </w:p>
        </w:tc>
      </w:tr>
      <w:tr>
        <w:trPr>
          <w:gridAfter w:val="1"/>
          <w:wAfter w:w="20" w:type="dxa"/>
          <w:cantSplit/>
          <w:trHeight w:val="225"/>
        </w:trPr>
        <w:tc>
          <w:tcPr>
            <w:tcW w:w="1417"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keepLines w:val="0"/>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62"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6112</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Arts plastiques NP</w:t>
            </w:r>
          </w:p>
        </w:tc>
      </w:tr>
      <w:tr>
        <w:trPr>
          <w:gridAfter w:val="1"/>
          <w:wAfter w:w="20" w:type="dxa"/>
          <w:cantSplit/>
          <w:trHeight w:val="225"/>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6113</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Art et structure de l’habitat NP</w:t>
            </w:r>
          </w:p>
        </w:tc>
      </w:tr>
      <w:tr>
        <w:trPr>
          <w:gridAfter w:val="1"/>
          <w:wAfter w:w="20" w:type="dxa"/>
          <w:cantSplit/>
          <w:trHeight w:val="225"/>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6210</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infographie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6211</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photographie R </w:t>
            </w:r>
          </w:p>
        </w:tc>
      </w:tr>
      <w:tr>
        <w:trPr>
          <w:gridAfter w:val="1"/>
          <w:wAfter w:w="20" w:type="dxa"/>
          <w:cantSplit/>
          <w:trHeight w:val="67"/>
        </w:trPr>
        <w:tc>
          <w:tcPr>
            <w:tcW w:w="1417"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62"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6102</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Arts appliqués R</w:t>
            </w: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6116</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Assistant/Assistante aux métiers de la publicité R2</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6115</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Assistant/Assistante en décoration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6405</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Gravure-bijouterie R2</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6407</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Graveur – ciseleur/Graveuse - ciseleuse R2</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6406</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Bijoutier – joaillier/Bijoutière - joaillière R2</w:t>
            </w:r>
          </w:p>
        </w:tc>
      </w:tr>
      <w:tr>
        <w:trPr>
          <w:cantSplit/>
          <w:trHeight w:val="67"/>
        </w:trPr>
        <w:tc>
          <w:tcPr>
            <w:tcW w:w="9644" w:type="dxa"/>
            <w:gridSpan w:val="10"/>
            <w:tcBorders>
              <w:top w:val="single" w:sz="4" w:space="0" w:color="auto"/>
              <w:left w:val="single" w:sz="4" w:space="0" w:color="auto"/>
              <w:bottom w:val="single" w:sz="4" w:space="0" w:color="auto"/>
              <w:right w:val="single" w:sz="4" w:space="0" w:color="auto"/>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7 : Economie</w:t>
            </w:r>
          </w:p>
        </w:tc>
      </w:tr>
      <w:tr>
        <w:trPr>
          <w:gridAfter w:val="1"/>
          <w:wAfter w:w="20" w:type="dxa"/>
          <w:cantSplit/>
          <w:trHeight w:val="67"/>
        </w:trPr>
        <w:tc>
          <w:tcPr>
            <w:tcW w:w="1417"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ind w:left="4513" w:hanging="4513"/>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ind w:left="4513" w:hanging="4513"/>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62"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val="restart"/>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7124</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comptabilité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7123</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commercial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7212</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de bureau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7404</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Agent/Agente en accueil et tourisme R</w:t>
            </w:r>
          </w:p>
        </w:tc>
      </w:tr>
      <w:tr>
        <w:trPr>
          <w:gridAfter w:val="1"/>
          <w:wAfter w:w="20" w:type="dxa"/>
          <w:cantSplit/>
          <w:trHeight w:val="67"/>
        </w:trPr>
        <w:tc>
          <w:tcPr>
            <w:tcW w:w="1417"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ind w:left="4956" w:hanging="4956"/>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ind w:left="4956" w:hanging="4956"/>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62"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7118</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Vente R</w:t>
            </w: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7125</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Vendeur/Vendeuse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ind w:left="4956" w:hanging="4956"/>
              <w:rPr>
                <w:rFonts w:ascii="Book Antiqua" w:hAnsi="Book Antiqua" w:cs="Book Antiqua"/>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7209</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Travaux de bureau R</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7405</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Auxiliaire administratif et d’accueil/Auxiliaire administrative et d’accueil R</w:t>
            </w:r>
          </w:p>
        </w:tc>
      </w:tr>
    </w:tbl>
    <w:p>
      <w:pPr>
        <w:pageBreakBefore/>
        <w:ind w:left="709"/>
        <w:rPr>
          <w:color w:val="000000"/>
        </w:rPr>
      </w:pPr>
    </w:p>
    <w:tbl>
      <w:tblPr>
        <w:tblW w:w="9624" w:type="dxa"/>
        <w:tblInd w:w="70" w:type="dxa"/>
        <w:tblLayout w:type="fixed"/>
        <w:tblCellMar>
          <w:left w:w="70" w:type="dxa"/>
          <w:right w:w="70" w:type="dxa"/>
        </w:tblCellMar>
        <w:tblLook w:val="0000" w:firstRow="0" w:lastRow="0" w:firstColumn="0" w:lastColumn="0" w:noHBand="0" w:noVBand="0"/>
      </w:tblPr>
      <w:tblGrid>
        <w:gridCol w:w="1417"/>
        <w:gridCol w:w="462"/>
        <w:gridCol w:w="703"/>
        <w:gridCol w:w="2971"/>
        <w:gridCol w:w="516"/>
        <w:gridCol w:w="675"/>
        <w:gridCol w:w="2880"/>
      </w:tblGrid>
      <w:tr>
        <w:trPr>
          <w:cantSplit/>
          <w:trHeight w:val="67"/>
        </w:trPr>
        <w:tc>
          <w:tcPr>
            <w:tcW w:w="9624" w:type="dxa"/>
            <w:gridSpan w:val="7"/>
            <w:tcBorders>
              <w:top w:val="single" w:sz="4" w:space="0" w:color="000000"/>
              <w:left w:val="single" w:sz="4" w:space="0" w:color="000000"/>
              <w:bottom w:val="single" w:sz="4" w:space="0" w:color="000000"/>
              <w:right w:val="single" w:sz="4" w:space="0" w:color="000000"/>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8 : Services aux personnes</w:t>
            </w:r>
          </w:p>
        </w:tc>
      </w:tr>
      <w:tr>
        <w:trPr>
          <w:cantSplit/>
          <w:trHeight w:val="88"/>
        </w:trPr>
        <w:tc>
          <w:tcPr>
            <w:tcW w:w="1417" w:type="dxa"/>
            <w:vMerge w:val="restart"/>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62"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8113</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Agent/Agente d’éducation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8203</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Aspirant/Aspirante en nursing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8315</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8327</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Esthéticien/Esthéticienne R </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Esthéticien/Esthéticienne </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8405</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Animateur/Animatrice R</w:t>
            </w:r>
          </w:p>
        </w:tc>
      </w:tr>
      <w:tr>
        <w:trPr>
          <w:cantSplit/>
          <w:trHeight w:val="67"/>
        </w:trPr>
        <w:tc>
          <w:tcPr>
            <w:tcW w:w="1417" w:type="dxa"/>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8109</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Techniques sociales NP</w:t>
            </w:r>
          </w:p>
        </w:tc>
      </w:tr>
      <w:tr>
        <w:trPr>
          <w:cantSplit/>
          <w:trHeight w:val="67"/>
        </w:trPr>
        <w:tc>
          <w:tcPr>
            <w:tcW w:w="1417" w:type="dxa"/>
            <w:vMerge w:val="restart"/>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62"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8108</w:t>
            </w: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Services sociaux R</w:t>
            </w:r>
          </w:p>
        </w:tc>
        <w:tc>
          <w:tcPr>
            <w:tcW w:w="51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8123</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Aide familial/aide familiale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8207</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Puériculture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strike/>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8308</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Soins de beauté NP</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8304</w:t>
            </w: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Coiffure R</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8314</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8328</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Coiffeur/Coiffeuse R</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Coiffeur/Coiffeuse </w:t>
            </w:r>
          </w:p>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 – 4</w:t>
            </w:r>
            <w:r>
              <w:rPr>
                <w:rFonts w:ascii="Book Antiqua" w:hAnsi="Book Antiqua" w:cs="Book Antiqua"/>
                <w:color w:val="000000"/>
                <w:spacing w:val="-2"/>
                <w:vertAlign w:val="superscript"/>
              </w:rPr>
              <w:t>e</w:t>
            </w:r>
            <w:r>
              <w:rPr>
                <w:rFonts w:ascii="Book Antiqua" w:hAnsi="Book Antiqua" w:cs="Book Antiqua"/>
                <w:color w:val="000000"/>
                <w:spacing w:val="-2"/>
              </w:rPr>
              <w:t xml:space="preserve"> CPU)</w:t>
            </w:r>
          </w:p>
        </w:tc>
      </w:tr>
      <w:tr>
        <w:trPr>
          <w:cantSplit/>
          <w:trHeight w:val="425"/>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8308</w:t>
            </w: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Soins de beauté NP</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p>
        </w:tc>
      </w:tr>
      <w:tr>
        <w:trPr>
          <w:cantSplit/>
          <w:trHeight w:val="67"/>
        </w:trPr>
        <w:tc>
          <w:tcPr>
            <w:tcW w:w="9624" w:type="dxa"/>
            <w:gridSpan w:val="7"/>
            <w:tcBorders>
              <w:top w:val="single" w:sz="4" w:space="0" w:color="000000"/>
              <w:left w:val="single" w:sz="4" w:space="0" w:color="000000"/>
              <w:bottom w:val="single" w:sz="4" w:space="0" w:color="000000"/>
              <w:right w:val="single" w:sz="4" w:space="0" w:color="000000"/>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9 : Sciences appliquées</w:t>
            </w:r>
          </w:p>
        </w:tc>
      </w:tr>
      <w:tr>
        <w:trPr>
          <w:cantSplit/>
          <w:trHeight w:val="67"/>
        </w:trPr>
        <w:tc>
          <w:tcPr>
            <w:tcW w:w="1417" w:type="dxa"/>
            <w:vMerge w:val="restart"/>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r>
              <w:rPr>
                <w:rFonts w:ascii="Book Antiqua" w:hAnsi="Book Antiqua" w:cs="Book Antiqua"/>
                <w:color w:val="000000"/>
                <w:spacing w:val="-2"/>
                <w:sz w:val="20"/>
                <w:szCs w:val="20"/>
                <w:lang w:val="fr-FR"/>
              </w:rPr>
              <w:t>Enseignement</w:t>
            </w:r>
          </w:p>
          <w:p>
            <w:pPr>
              <w:pStyle w:val="Document1"/>
              <w:tabs>
                <w:tab w:val="center" w:pos="4513"/>
              </w:tabs>
              <w:rPr>
                <w:rFonts w:ascii="Book Antiqua" w:hAnsi="Book Antiqua" w:cs="Book Antiqua"/>
                <w:color w:val="000000"/>
                <w:spacing w:val="-2"/>
                <w:sz w:val="20"/>
                <w:szCs w:val="20"/>
                <w:lang w:val="fr-FR"/>
              </w:rPr>
            </w:pPr>
            <w:r>
              <w:rPr>
                <w:rFonts w:ascii="Book Antiqua" w:hAnsi="Book Antiqua" w:cs="Book Antiqua"/>
                <w:color w:val="000000"/>
                <w:spacing w:val="-2"/>
                <w:sz w:val="20"/>
                <w:szCs w:val="20"/>
                <w:lang w:val="fr-FR"/>
              </w:rPr>
              <w:t>Technique</w:t>
            </w:r>
          </w:p>
        </w:tc>
        <w:tc>
          <w:tcPr>
            <w:tcW w:w="462"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pStyle w:val="Document1"/>
              <w:keepNext w:val="0"/>
              <w:keepLines w:val="0"/>
              <w:tabs>
                <w:tab w:val="center" w:pos="4513"/>
              </w:tabs>
              <w:snapToGrid w:val="0"/>
              <w:rPr>
                <w:rFonts w:ascii="Book Antiqua" w:hAnsi="Book Antiqua" w:cs="Book Antiqua"/>
                <w:color w:val="000000"/>
                <w:spacing w:val="-2"/>
                <w:sz w:val="20"/>
                <w:szCs w:val="20"/>
                <w:lang w:val="fr-FR"/>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9110</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Technicien/Technicienne en bandages-orthèses-prothèses-chaussures orthopédiques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pStyle w:val="Document1"/>
              <w:keepNext w:val="0"/>
              <w:keepLines w:val="0"/>
              <w:tabs>
                <w:tab w:val="center" w:pos="4513"/>
              </w:tabs>
              <w:snapToGrid w:val="0"/>
              <w:rPr>
                <w:rFonts w:ascii="Book Antiqua" w:hAnsi="Book Antiqua" w:cs="Book Antiqua"/>
                <w:color w:val="000000"/>
                <w:spacing w:val="-2"/>
                <w:sz w:val="20"/>
                <w:szCs w:val="20"/>
                <w:lang w:val="fr-FR"/>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9204</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Prothèse dentaire R2</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9208</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Optique R2</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9308</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Assistant/Assistante </w:t>
            </w:r>
            <w:proofErr w:type="spellStart"/>
            <w:r>
              <w:rPr>
                <w:rFonts w:ascii="Book Antiqua" w:hAnsi="Book Antiqua" w:cs="Book Antiqua"/>
                <w:color w:val="000000"/>
                <w:spacing w:val="-2"/>
              </w:rPr>
              <w:t>pharmaceutico</w:t>
            </w:r>
            <w:proofErr w:type="spellEnd"/>
            <w:r>
              <w:rPr>
                <w:rFonts w:ascii="Book Antiqua" w:hAnsi="Book Antiqua" w:cs="Book Antiqua"/>
                <w:color w:val="000000"/>
                <w:spacing w:val="-2"/>
              </w:rPr>
              <w:t xml:space="preserve">-technique R </w:t>
            </w:r>
          </w:p>
        </w:tc>
      </w:tr>
      <w:tr>
        <w:trPr>
          <w:cantSplit/>
          <w:trHeight w:val="9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9309</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chimiste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9310</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/Technicienne</w:t>
            </w:r>
            <w:r>
              <w:rPr>
                <w:rFonts w:ascii="Book Antiqua" w:hAnsi="Book Antiqua" w:cs="Book Antiqua"/>
                <w:color w:val="000000"/>
                <w:spacing w:val="-2"/>
              </w:rPr>
              <w:t xml:space="preserve"> des industries agroalimentaires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p>
        </w:tc>
      </w:tr>
      <w:tr>
        <w:trPr>
          <w:cantSplit/>
          <w:trHeight w:val="67"/>
        </w:trPr>
        <w:tc>
          <w:tcPr>
            <w:tcW w:w="1417" w:type="dxa"/>
            <w:vMerge w:val="restart"/>
            <w:tcBorders>
              <w:top w:val="single" w:sz="4" w:space="0" w:color="000000"/>
              <w:left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62" w:type="dxa"/>
            <w:vMerge w:val="restart"/>
            <w:tcBorders>
              <w:top w:val="single" w:sz="4" w:space="0" w:color="000000"/>
              <w:left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000000"/>
              <w:lef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9312</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Opérateur/Opératrice de production des entreprises agroalimentaires R</w:t>
            </w:r>
          </w:p>
        </w:tc>
      </w:tr>
      <w:tr>
        <w:trPr>
          <w:cantSplit/>
          <w:trHeight w:val="67"/>
        </w:trPr>
        <w:tc>
          <w:tcPr>
            <w:tcW w:w="1417" w:type="dxa"/>
            <w:vMerge/>
            <w:tcBorders>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p>
        </w:tc>
      </w:tr>
    </w:tbl>
    <w:p>
      <w:pPr>
        <w:pStyle w:val="Document1"/>
        <w:keepNext w:val="0"/>
        <w:keepLines w:val="0"/>
        <w:suppressAutoHyphens w:val="0"/>
        <w:ind w:left="709"/>
        <w:rPr>
          <w:rFonts w:ascii="Book Antiqua" w:hAnsi="Book Antiqua" w:cs="Times New Roman"/>
          <w:color w:val="000000"/>
          <w:sz w:val="20"/>
          <w:szCs w:val="20"/>
          <w:lang w:val="fr-FR"/>
        </w:rPr>
      </w:pPr>
    </w:p>
    <w:p>
      <w:pPr>
        <w:pStyle w:val="niveau4"/>
        <w:pageBreakBefore/>
        <w:ind w:left="709"/>
      </w:pPr>
      <w:bookmarkStart w:id="96" w:name="_Toc522700812"/>
      <w:r>
        <w:lastRenderedPageBreak/>
        <w:t>4. Répertoire des options de base groupées des 7</w:t>
      </w:r>
      <w:r>
        <w:rPr>
          <w:vertAlign w:val="superscript"/>
        </w:rPr>
        <w:t>èmes</w:t>
      </w:r>
      <w:r>
        <w:t xml:space="preserve"> années qualifiantes</w:t>
      </w:r>
      <w:bookmarkEnd w:id="96"/>
    </w:p>
    <w:p>
      <w:pPr>
        <w:tabs>
          <w:tab w:val="left" w:pos="-1440"/>
          <w:tab w:val="left" w:pos="-720"/>
          <w:tab w:val="left" w:pos="1418"/>
        </w:tabs>
        <w:ind w:left="1135"/>
        <w:jc w:val="both"/>
        <w:rPr>
          <w:rFonts w:ascii="Book Antiqua" w:hAnsi="Book Antiqua" w:cs="Book Antiqua"/>
          <w:color w:val="000000"/>
          <w:spacing w:val="-4"/>
        </w:rPr>
      </w:pPr>
      <w:r>
        <w:rPr>
          <w:rFonts w:ascii="Book Antiqua" w:hAnsi="Book Antiqua" w:cs="Book Antiqua"/>
          <w:color w:val="000000"/>
          <w:spacing w:val="-4"/>
        </w:rPr>
        <w:t>Les 7</w:t>
      </w:r>
      <w:r>
        <w:rPr>
          <w:rFonts w:ascii="Book Antiqua" w:hAnsi="Book Antiqua" w:cs="Book Antiqua"/>
          <w:color w:val="000000"/>
          <w:spacing w:val="-4"/>
          <w:vertAlign w:val="superscript"/>
        </w:rPr>
        <w:t>èmes</w:t>
      </w:r>
      <w:r>
        <w:rPr>
          <w:rFonts w:ascii="Book Antiqua" w:hAnsi="Book Antiqua" w:cs="Book Antiqua"/>
          <w:color w:val="000000"/>
          <w:spacing w:val="-4"/>
        </w:rPr>
        <w:t xml:space="preserve"> années « Complémentaires » et « Qualifiantes » de l’enseignement technique et de l’enseignement professionnel sont classées en options :</w:t>
      </w:r>
    </w:p>
    <w:p>
      <w:pPr>
        <w:tabs>
          <w:tab w:val="left" w:pos="-1440"/>
          <w:tab w:val="left" w:pos="-720"/>
          <w:tab w:val="left" w:pos="1418"/>
        </w:tabs>
        <w:ind w:left="1418" w:hanging="283"/>
        <w:jc w:val="both"/>
        <w:rPr>
          <w:rFonts w:ascii="Book Antiqua" w:hAnsi="Book Antiqua" w:cs="Book Antiqua"/>
          <w:color w:val="000000"/>
          <w:spacing w:val="-4"/>
        </w:rPr>
      </w:pPr>
      <w:r>
        <w:rPr>
          <w:rFonts w:ascii="Book Antiqua" w:hAnsi="Book Antiqua" w:cs="Book Antiqua"/>
          <w:color w:val="000000"/>
          <w:spacing w:val="-4"/>
        </w:rPr>
        <w:t>1° dont l’accès est limité aux élèves porteurs d’un certificat de qualification particulier</w:t>
      </w:r>
      <w:r>
        <w:rPr>
          <w:rFonts w:ascii="Book Antiqua" w:hAnsi="Book Antiqua" w:cs="Book Antiqua"/>
          <w:color w:val="000000"/>
          <w:spacing w:val="-4"/>
          <w:sz w:val="24"/>
        </w:rPr>
        <w:t xml:space="preserve"> </w:t>
      </w:r>
      <w:r>
        <w:rPr>
          <w:rFonts w:ascii="Book Antiqua" w:hAnsi="Book Antiqua" w:cs="Book Antiqua"/>
          <w:color w:val="000000"/>
          <w:spacing w:val="-4"/>
        </w:rPr>
        <w:t>(Options classées Limitées (L)) ;</w:t>
      </w:r>
    </w:p>
    <w:p>
      <w:pPr>
        <w:tabs>
          <w:tab w:val="left" w:pos="-1440"/>
          <w:tab w:val="left" w:pos="-720"/>
          <w:tab w:val="left" w:pos="1134"/>
          <w:tab w:val="left" w:pos="1418"/>
        </w:tabs>
        <w:ind w:left="1418" w:hanging="283"/>
        <w:jc w:val="both"/>
        <w:rPr>
          <w:rFonts w:ascii="Book Antiqua" w:hAnsi="Book Antiqua" w:cs="Book Antiqua"/>
          <w:color w:val="000000"/>
          <w:spacing w:val="-4"/>
        </w:rPr>
      </w:pPr>
      <w:r>
        <w:rPr>
          <w:rFonts w:ascii="Book Antiqua" w:hAnsi="Book Antiqua" w:cs="Book Antiqua"/>
          <w:color w:val="000000"/>
          <w:spacing w:val="-4"/>
        </w:rPr>
        <w:t>2° dont l’accès est limité aux élèves porteurs d’un certificat de qualification (Options classées Semi-ouvertes (S-O)) ;</w:t>
      </w:r>
    </w:p>
    <w:p>
      <w:pPr>
        <w:pStyle w:val="Commentaire1"/>
        <w:ind w:left="1418" w:hanging="283"/>
        <w:jc w:val="both"/>
        <w:rPr>
          <w:rFonts w:ascii="Book Antiqua" w:hAnsi="Book Antiqua" w:cs="Book Antiqua"/>
          <w:color w:val="000000"/>
        </w:rPr>
      </w:pPr>
      <w:r>
        <w:rPr>
          <w:rFonts w:ascii="Book Antiqua" w:hAnsi="Book Antiqua" w:cs="Book Antiqua"/>
          <w:color w:val="000000"/>
          <w:spacing w:val="-4"/>
        </w:rPr>
        <w:t>3° dont l’accès est ouvert à tous les élèves qui ont réussi une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(Options classées Ouvertes (O)). </w:t>
      </w:r>
      <w:r>
        <w:rPr>
          <w:rStyle w:val="Caractresdenotedebasdepage"/>
          <w:rFonts w:ascii="Book Antiqua" w:hAnsi="Book Antiqua" w:cs="Book Antiqua"/>
          <w:color w:val="000000"/>
          <w:spacing w:val="-4"/>
        </w:rPr>
        <w:footnoteReference w:id="192"/>
      </w:r>
    </w:p>
    <w:p>
      <w:pPr>
        <w:pStyle w:val="Commentaire1"/>
        <w:ind w:left="709"/>
        <w:jc w:val="both"/>
        <w:rPr>
          <w:rFonts w:ascii="Book Antiqua" w:hAnsi="Book Antiqua" w:cs="Book Antiqua"/>
          <w:b/>
          <w:i/>
          <w:color w:val="000000"/>
        </w:rPr>
      </w:pPr>
    </w:p>
    <w:p>
      <w:pPr>
        <w:pStyle w:val="Commentaire1"/>
        <w:ind w:left="709"/>
        <w:jc w:val="both"/>
        <w:rPr>
          <w:rFonts w:ascii="Book Antiqua" w:hAnsi="Book Antiqua" w:cs="Book Antiqua"/>
          <w:b/>
          <w:i/>
          <w:color w:val="000000"/>
        </w:rPr>
      </w:pPr>
      <w:r>
        <w:rPr>
          <w:rFonts w:ascii="Book Antiqua" w:hAnsi="Book Antiqua" w:cs="Book Antiqua"/>
          <w:b/>
          <w:i/>
          <w:color w:val="000000"/>
        </w:rPr>
        <w:t>7</w:t>
      </w:r>
      <w:r>
        <w:rPr>
          <w:rFonts w:ascii="Book Antiqua" w:hAnsi="Book Antiqua" w:cs="Book Antiqua"/>
          <w:b/>
          <w:i/>
          <w:color w:val="000000"/>
          <w:vertAlign w:val="superscript"/>
        </w:rPr>
        <w:t xml:space="preserve">èmes </w:t>
      </w:r>
      <w:r>
        <w:rPr>
          <w:rFonts w:ascii="Book Antiqua" w:hAnsi="Book Antiqua" w:cs="Book Antiqua"/>
          <w:b/>
          <w:i/>
          <w:color w:val="000000"/>
        </w:rPr>
        <w:t>années qualifiantes - Technique de Qualification :</w:t>
      </w:r>
    </w:p>
    <w:tbl>
      <w:tblPr>
        <w:tblW w:w="8742" w:type="dxa"/>
        <w:tblInd w:w="-25" w:type="dxa"/>
        <w:tblLayout w:type="fixed"/>
        <w:tblCellMar>
          <w:top w:w="15" w:type="dxa"/>
          <w:left w:w="15" w:type="dxa"/>
          <w:right w:w="15" w:type="dxa"/>
        </w:tblCellMar>
        <w:tblLook w:val="0000" w:firstRow="0" w:lastRow="0" w:firstColumn="0" w:lastColumn="0" w:noHBand="0" w:noVBand="0"/>
      </w:tblPr>
      <w:tblGrid>
        <w:gridCol w:w="676"/>
        <w:gridCol w:w="7391"/>
        <w:gridCol w:w="675"/>
      </w:tblGrid>
      <w:tr>
        <w:trPr>
          <w:trHeight w:val="420"/>
        </w:trPr>
        <w:tc>
          <w:tcPr>
            <w:tcW w:w="676" w:type="dxa"/>
            <w:tcBorders>
              <w:top w:val="single" w:sz="4" w:space="0" w:color="000000"/>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1: Agronomie</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1307</w:t>
            </w:r>
          </w:p>
        </w:tc>
        <w:tc>
          <w:tcPr>
            <w:tcW w:w="7391"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Gestionnaire des ressources naturelles et forestières O</w:t>
            </w:r>
          </w:p>
        </w:tc>
        <w:tc>
          <w:tcPr>
            <w:tcW w:w="67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420"/>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2 : Industrie</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2215</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télécommunication S-O</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2524</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maintenance et diagnostic automobile L</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2525</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motos L</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tcBorders>
          </w:tcPr>
          <w:p>
            <w:pPr>
              <w:snapToGrid w:val="0"/>
              <w:jc w:val="right"/>
              <w:rPr>
                <w:rFonts w:ascii="Book Antiqua" w:hAnsi="Book Antiqua"/>
              </w:rPr>
            </w:pPr>
            <w:r>
              <w:rPr>
                <w:rFonts w:ascii="Book Antiqua" w:hAnsi="Book Antiqua"/>
              </w:rPr>
              <w:t>2216</w:t>
            </w:r>
          </w:p>
        </w:tc>
        <w:tc>
          <w:tcPr>
            <w:tcW w:w="7391" w:type="dxa"/>
            <w:tcBorders>
              <w:left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climatisation et conditionnement d’air S-O</w:t>
            </w:r>
          </w:p>
        </w:tc>
        <w:tc>
          <w:tcPr>
            <w:tcW w:w="675" w:type="dxa"/>
            <w:tcBorders>
              <w:left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top w:val="single" w:sz="4" w:space="0" w:color="000000"/>
              <w:left w:val="single" w:sz="4" w:space="0" w:color="000000"/>
              <w:bottom w:val="single" w:sz="4" w:space="0" w:color="000000"/>
            </w:tcBorders>
          </w:tcPr>
          <w:p>
            <w:pPr>
              <w:snapToGrid w:val="0"/>
              <w:jc w:val="right"/>
              <w:rPr>
                <w:rFonts w:ascii="Book Antiqua" w:hAnsi="Book Antiqua"/>
              </w:rPr>
            </w:pPr>
            <w:r>
              <w:rPr>
                <w:rFonts w:ascii="Book Antiqua" w:hAnsi="Book Antiqua"/>
              </w:rPr>
              <w:t>2413</w:t>
            </w:r>
          </w:p>
        </w:tc>
        <w:tc>
          <w:tcPr>
            <w:tcW w:w="7391" w:type="dxa"/>
            <w:tcBorders>
              <w:top w:val="single" w:sz="4"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maintenance de systèmes automatisés industriels S-O</w:t>
            </w:r>
          </w:p>
        </w:tc>
        <w:tc>
          <w:tcPr>
            <w:tcW w:w="675" w:type="dxa"/>
            <w:tcBorders>
              <w:top w:val="single" w:sz="4"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2644</w:t>
            </w:r>
          </w:p>
        </w:tc>
        <w:tc>
          <w:tcPr>
            <w:tcW w:w="7391"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Dessinateur/Dessinatrice en DAO (mécanique-électricité) S-O</w:t>
            </w:r>
          </w:p>
        </w:tc>
        <w:tc>
          <w:tcPr>
            <w:tcW w:w="67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2711</w:t>
            </w:r>
          </w:p>
        </w:tc>
        <w:tc>
          <w:tcPr>
            <w:tcW w:w="7391"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fonderie S-O</w:t>
            </w:r>
          </w:p>
        </w:tc>
        <w:tc>
          <w:tcPr>
            <w:tcW w:w="67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3 : Construction</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3202</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 spécialisé/Technicienne spécialisée en métré et devis S-O</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3224</w:t>
            </w:r>
          </w:p>
        </w:tc>
        <w:tc>
          <w:tcPr>
            <w:tcW w:w="7391"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des constructions en bois S-O</w:t>
            </w:r>
          </w:p>
        </w:tc>
        <w:tc>
          <w:tcPr>
            <w:tcW w:w="67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3228</w:t>
            </w:r>
          </w:p>
        </w:tc>
        <w:tc>
          <w:tcPr>
            <w:tcW w:w="7391"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Dessinateur/Dessinatrice DAO en construction S-O</w:t>
            </w:r>
          </w:p>
        </w:tc>
        <w:tc>
          <w:tcPr>
            <w:tcW w:w="67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3304</w:t>
            </w:r>
          </w:p>
        </w:tc>
        <w:tc>
          <w:tcPr>
            <w:tcW w:w="7391"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encadrement de chantier S-O</w:t>
            </w:r>
          </w:p>
        </w:tc>
        <w:tc>
          <w:tcPr>
            <w:tcW w:w="67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4 : Hôtellerie – alimentation</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4405</w:t>
            </w:r>
          </w:p>
        </w:tc>
        <w:tc>
          <w:tcPr>
            <w:tcW w:w="7391"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Gestionnaire de cuisine de collectivités L</w:t>
            </w:r>
          </w:p>
        </w:tc>
        <w:tc>
          <w:tcPr>
            <w:tcW w:w="67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5 : Habillement – Textile</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5103</w:t>
            </w:r>
          </w:p>
        </w:tc>
        <w:tc>
          <w:tcPr>
            <w:tcW w:w="7391"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textile technique S-O</w:t>
            </w:r>
          </w:p>
        </w:tc>
        <w:tc>
          <w:tcPr>
            <w:tcW w:w="67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6 : Arts appliqués</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6216</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multimédia S-O</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6217</w:t>
            </w:r>
          </w:p>
        </w:tc>
        <w:tc>
          <w:tcPr>
            <w:tcW w:w="7391"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image de synthèse O</w:t>
            </w:r>
          </w:p>
        </w:tc>
        <w:tc>
          <w:tcPr>
            <w:tcW w:w="67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8 : Services aux personnes</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8301</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Gestionnaire d’un institut de beauté L</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8323</w:t>
            </w:r>
          </w:p>
        </w:tc>
        <w:tc>
          <w:tcPr>
            <w:tcW w:w="7391"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Esthéticien social / Esthéticienne sociale L</w:t>
            </w:r>
          </w:p>
        </w:tc>
        <w:tc>
          <w:tcPr>
            <w:tcW w:w="67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8407</w:t>
            </w:r>
          </w:p>
        </w:tc>
        <w:tc>
          <w:tcPr>
            <w:tcW w:w="7391"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Animateur socio-sportif / Animatrice socio-sportive S-O</w:t>
            </w:r>
          </w:p>
        </w:tc>
        <w:tc>
          <w:tcPr>
            <w:tcW w:w="67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9 : Sciences appliquées</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auto"/>
            </w:tcBorders>
          </w:tcPr>
          <w:p>
            <w:pPr>
              <w:snapToGrid w:val="0"/>
              <w:jc w:val="right"/>
              <w:rPr>
                <w:rFonts w:ascii="Book Antiqua" w:hAnsi="Book Antiqua"/>
              </w:rPr>
            </w:pPr>
            <w:r>
              <w:rPr>
                <w:rFonts w:ascii="Book Antiqua" w:hAnsi="Book Antiqua"/>
              </w:rPr>
              <w:t>9210</w:t>
            </w:r>
          </w:p>
        </w:tc>
        <w:tc>
          <w:tcPr>
            <w:tcW w:w="7391"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Prothésiste dentaire L</w:t>
            </w:r>
          </w:p>
        </w:tc>
        <w:tc>
          <w:tcPr>
            <w:tcW w:w="67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r>
              <w:rPr>
                <w:rFonts w:ascii="Book Antiqua" w:hAnsi="Book Antiqua"/>
                <w:vertAlign w:val="superscript"/>
              </w:rPr>
              <w:t>2</w:t>
            </w:r>
            <w:r>
              <w:rPr>
                <w:rFonts w:ascii="Book Antiqua" w:hAnsi="Book Antiqua"/>
              </w:rPr>
              <w:t>/SN</w:t>
            </w:r>
          </w:p>
        </w:tc>
      </w:tr>
      <w:tr>
        <w:trPr>
          <w:trHeight w:val="300"/>
        </w:trPr>
        <w:tc>
          <w:tcPr>
            <w:tcW w:w="676" w:type="dxa"/>
            <w:tcBorders>
              <w:top w:val="single" w:sz="4" w:space="0" w:color="auto"/>
              <w:left w:val="single" w:sz="4" w:space="0" w:color="000000"/>
              <w:bottom w:val="single" w:sz="4" w:space="0" w:color="auto"/>
            </w:tcBorders>
          </w:tcPr>
          <w:p>
            <w:pPr>
              <w:snapToGrid w:val="0"/>
              <w:jc w:val="right"/>
              <w:rPr>
                <w:rFonts w:ascii="Book Antiqua" w:hAnsi="Book Antiqua"/>
              </w:rPr>
            </w:pPr>
            <w:r>
              <w:rPr>
                <w:rFonts w:ascii="Book Antiqua" w:hAnsi="Book Antiqua"/>
              </w:rPr>
              <w:t>9209</w:t>
            </w:r>
          </w:p>
        </w:tc>
        <w:tc>
          <w:tcPr>
            <w:tcW w:w="7391" w:type="dxa"/>
            <w:tcBorders>
              <w:top w:val="double" w:sz="2" w:space="0" w:color="000000"/>
              <w:left w:val="single" w:sz="4" w:space="0" w:color="000000"/>
              <w:bottom w:val="single" w:sz="4" w:space="0" w:color="auto"/>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Opticien/Opticienne L</w:t>
            </w:r>
          </w:p>
        </w:tc>
        <w:tc>
          <w:tcPr>
            <w:tcW w:w="675" w:type="dxa"/>
            <w:tcBorders>
              <w:top w:val="double" w:sz="2" w:space="0" w:color="000000"/>
              <w:left w:val="single" w:sz="4" w:space="0" w:color="000000"/>
              <w:bottom w:val="single" w:sz="4" w:space="0" w:color="auto"/>
              <w:right w:val="single" w:sz="4" w:space="0" w:color="000000"/>
            </w:tcBorders>
          </w:tcPr>
          <w:p>
            <w:pPr>
              <w:snapToGrid w:val="0"/>
              <w:rPr>
                <w:rFonts w:ascii="Book Antiqua" w:hAnsi="Book Antiqua"/>
              </w:rPr>
            </w:pPr>
            <w:r>
              <w:rPr>
                <w:rFonts w:ascii="Book Antiqua" w:hAnsi="Book Antiqua"/>
              </w:rPr>
              <w:t>R</w:t>
            </w:r>
            <w:r>
              <w:rPr>
                <w:rFonts w:ascii="Book Antiqua" w:hAnsi="Book Antiqua"/>
                <w:vertAlign w:val="superscript"/>
              </w:rPr>
              <w:t>2</w:t>
            </w:r>
            <w:r>
              <w:rPr>
                <w:rFonts w:ascii="Book Antiqua" w:hAnsi="Book Antiqua"/>
              </w:rPr>
              <w:t>/SN</w:t>
            </w:r>
          </w:p>
        </w:tc>
      </w:tr>
    </w:tbl>
    <w:p>
      <w:pPr>
        <w:pStyle w:val="Document1"/>
        <w:keepNext w:val="0"/>
        <w:keepLines w:val="0"/>
        <w:pageBreakBefore/>
        <w:suppressAutoHyphens w:val="0"/>
        <w:ind w:left="709"/>
        <w:rPr>
          <w:rFonts w:ascii="Book Antiqua" w:hAnsi="Book Antiqua" w:cs="Times New Roman"/>
          <w:b/>
          <w:i/>
          <w:color w:val="000000"/>
          <w:sz w:val="20"/>
          <w:szCs w:val="20"/>
          <w:lang w:val="fr-FR"/>
        </w:rPr>
      </w:pPr>
      <w:r>
        <w:rPr>
          <w:rFonts w:ascii="Book Antiqua" w:hAnsi="Book Antiqua" w:cs="Times New Roman"/>
          <w:b/>
          <w:i/>
          <w:color w:val="000000"/>
          <w:sz w:val="20"/>
          <w:szCs w:val="20"/>
          <w:lang w:val="fr-FR"/>
        </w:rPr>
        <w:lastRenderedPageBreak/>
        <w:t>7</w:t>
      </w:r>
      <w:r>
        <w:rPr>
          <w:rFonts w:ascii="Book Antiqua" w:hAnsi="Book Antiqua" w:cs="Times New Roman"/>
          <w:b/>
          <w:i/>
          <w:color w:val="000000"/>
          <w:sz w:val="20"/>
          <w:szCs w:val="20"/>
          <w:vertAlign w:val="superscript"/>
          <w:lang w:val="fr-FR"/>
        </w:rPr>
        <w:t xml:space="preserve">èmes </w:t>
      </w:r>
      <w:r>
        <w:rPr>
          <w:rFonts w:ascii="Book Antiqua" w:hAnsi="Book Antiqua" w:cs="Times New Roman"/>
          <w:b/>
          <w:i/>
          <w:color w:val="000000"/>
          <w:sz w:val="20"/>
          <w:szCs w:val="20"/>
          <w:lang w:val="fr-FR"/>
        </w:rPr>
        <w:t>années qualifiantes - Professionnel :</w:t>
      </w: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360"/>
        </w:trPr>
        <w:tc>
          <w:tcPr>
            <w:tcW w:w="700" w:type="dxa"/>
            <w:tcBorders>
              <w:top w:val="single" w:sz="4" w:space="0" w:color="000000"/>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1 : Agronomie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555"/>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1214</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Horticulteur spécialisé/Horticultrice spécialisée en aménagement de parcs et jardins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1315</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Arboriste : grimpeur – élagueur/grimpeuse- élagueuse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2 : Industrie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2324</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Installateur – réparateur/Installatrice - réparatrice d’appareils électroménagers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2521</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Mécanicien/Mécanicienne des moteurs diesels et engins hydrauliques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2715</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Carrossier spécialisé/Carrossière spécialisée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2633</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Armurier monteur/Armurière monteuse à bois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3 : Construction</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3225</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Etancheur/Etancheuse S-O (organisable pour la dernière fois en 2016-2017)</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3226</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Charpentier/Charpentière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3428</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Installateur/Installatrice en chauffage central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3425</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Installateur/Installatrice en sanitaire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3131</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Restaurateur – garnisseur/Restauratrice – garnisseuse de meubles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3132</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Menuisier/Menuisière en PVC et ALU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3133</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Cuisiniste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3309</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Ouvrier/Ouvrière en rénovation, restauration et conservation du bâtiment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3134</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Parqueteur/Parqueteuse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4 : Hôtellerie – alimentation</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4125</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Traiteur-organisateur/Traiteur - organisatrice de banquets et de réceptions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4126</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Chef de cuisine de collectivité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4127</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Responsable d’équipe(s) en chaînes de restauration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4120</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Sommelier/Sommelière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645"/>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4207</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Patron boucher – charcutier – traiteur/ Patronne bouchère – charcutière – traiteur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4311</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Chocolatier – Confiseur – Glacier/ Chocolatière - Confiseuse – Glacière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63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4312</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Patron boulanger – pâtissier – chocolatier/ Patronne boulangère – pâtissière – chocolatière L</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5 : Habillement et textile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5221</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Tailleur/Tailleuse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5239</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Agent polyvalent/Agente polyvalente dans la confection des costumes de scène ou de spectacles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6 : Arts appliqués</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6107</w:t>
            </w:r>
          </w:p>
        </w:tc>
        <w:tc>
          <w:tcPr>
            <w:tcW w:w="7655" w:type="dxa"/>
            <w:tcBorders>
              <w:top w:val="double" w:sz="2" w:space="0" w:color="000000"/>
              <w:left w:val="single" w:sz="4" w:space="0" w:color="000000"/>
              <w:bottom w:val="double" w:sz="2" w:space="0" w:color="000000"/>
              <w:right w:val="single" w:sz="4" w:space="0" w:color="000000"/>
            </w:tcBorders>
            <w:vAlign w:val="center"/>
          </w:tcPr>
          <w:p>
            <w:pPr>
              <w:snapToGrid w:val="0"/>
              <w:rPr>
                <w:rFonts w:ascii="Book Antiqua" w:hAnsi="Book Antiqua"/>
                <w:lang w:val="es-ES_tradnl"/>
              </w:rPr>
            </w:pPr>
            <w:r>
              <w:rPr>
                <w:rFonts w:ascii="Book Antiqua" w:hAnsi="Book Antiqua"/>
              </w:rPr>
              <w:t>7</w:t>
            </w:r>
            <w:r>
              <w:rPr>
                <w:rFonts w:ascii="Book Antiqua" w:hAnsi="Book Antiqua"/>
                <w:vertAlign w:val="superscript"/>
              </w:rPr>
              <w:t>ème</w:t>
            </w:r>
            <w:r>
              <w:rPr>
                <w:rFonts w:ascii="Book Antiqua" w:hAnsi="Book Antiqua"/>
                <w:lang w:val="es-ES_tradnl"/>
              </w:rPr>
              <w:t xml:space="preserve"> PB </w:t>
            </w:r>
            <w:proofErr w:type="spellStart"/>
            <w:r>
              <w:rPr>
                <w:rFonts w:ascii="Book Antiqua" w:hAnsi="Book Antiqua"/>
                <w:lang w:val="es-ES_tradnl"/>
              </w:rPr>
              <w:t>Etalagiste</w:t>
            </w:r>
            <w:proofErr w:type="spellEnd"/>
            <w:r>
              <w:rPr>
                <w:rFonts w:ascii="Book Antiqua" w:hAnsi="Book Antiqua"/>
                <w:lang w:val="es-ES_tradnl"/>
              </w:rPr>
              <w:t xml:space="preserve"> S-O</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vAlign w:val="center"/>
          </w:tcPr>
          <w:p>
            <w:pPr>
              <w:snapToGrid w:val="0"/>
              <w:rPr>
                <w:rFonts w:ascii="Book Antiqua" w:hAnsi="Book Antiqua"/>
                <w:lang w:val="es-ES_tradnl"/>
              </w:rPr>
            </w:pPr>
            <w:r>
              <w:rPr>
                <w:rFonts w:ascii="Book Antiqua" w:hAnsi="Book Antiqua"/>
                <w:lang w:val="es-ES_tradnl"/>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7 : Economie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7130</w:t>
            </w:r>
          </w:p>
        </w:tc>
        <w:tc>
          <w:tcPr>
            <w:tcW w:w="7655" w:type="dxa"/>
            <w:tcBorders>
              <w:top w:val="double" w:sz="2" w:space="0" w:color="000000"/>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Gestionnaire de très petites entreprises O</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bl>
    <w:p>
      <w:pPr>
        <w:pageBreakBefore/>
      </w:pP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285"/>
        </w:trPr>
        <w:tc>
          <w:tcPr>
            <w:tcW w:w="700" w:type="dxa"/>
            <w:tcBorders>
              <w:top w:val="single" w:sz="4" w:space="0" w:color="000000"/>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single" w:sz="4"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8 : Services aux personnes</w:t>
            </w:r>
          </w:p>
        </w:tc>
        <w:tc>
          <w:tcPr>
            <w:tcW w:w="697" w:type="dxa"/>
            <w:tcBorders>
              <w:top w:val="double" w:sz="2" w:space="0" w:color="000000"/>
              <w:left w:val="single" w:sz="4"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8212</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lang w:val="es-ES_tradnl"/>
              </w:rPr>
            </w:pPr>
            <w:r>
              <w:rPr>
                <w:rFonts w:ascii="Book Antiqua" w:hAnsi="Book Antiqua"/>
              </w:rPr>
              <w:t>7</w:t>
            </w:r>
            <w:r>
              <w:rPr>
                <w:rFonts w:ascii="Book Antiqua" w:hAnsi="Book Antiqua"/>
                <w:vertAlign w:val="superscript"/>
              </w:rPr>
              <w:t>ème</w:t>
            </w:r>
            <w:r>
              <w:rPr>
                <w:rFonts w:ascii="Book Antiqua" w:hAnsi="Book Antiqua"/>
                <w:lang w:val="es-ES_tradnl"/>
              </w:rPr>
              <w:t xml:space="preserve"> PB </w:t>
            </w:r>
            <w:proofErr w:type="spellStart"/>
            <w:r>
              <w:rPr>
                <w:rFonts w:ascii="Book Antiqua" w:hAnsi="Book Antiqua"/>
                <w:lang w:val="es-ES_tradnl"/>
              </w:rPr>
              <w:t>Agent</w:t>
            </w:r>
            <w:proofErr w:type="spellEnd"/>
            <w:r>
              <w:rPr>
                <w:rFonts w:ascii="Book Antiqua" w:hAnsi="Book Antiqua"/>
                <w:lang w:val="es-ES_tradnl"/>
              </w:rPr>
              <w:t xml:space="preserve"> médico-social / Agente médico-</w:t>
            </w:r>
            <w:proofErr w:type="spellStart"/>
            <w:r>
              <w:rPr>
                <w:rFonts w:ascii="Book Antiqua" w:hAnsi="Book Antiqua"/>
                <w:lang w:val="es-ES_tradnl"/>
              </w:rPr>
              <w:t>sociale</w:t>
            </w:r>
            <w:proofErr w:type="spellEnd"/>
            <w:r>
              <w:rPr>
                <w:rFonts w:ascii="Book Antiqua" w:hAnsi="Book Antiqua"/>
                <w:lang w:val="es-ES_tradnl"/>
              </w:rPr>
              <w:t xml:space="preserv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8216</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Aide-soignant/Aide-soignante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8213</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lang w:val="es-ES_tradnl"/>
              </w:rPr>
            </w:pPr>
            <w:r>
              <w:rPr>
                <w:rFonts w:ascii="Book Antiqua" w:hAnsi="Book Antiqua"/>
              </w:rPr>
              <w:t>7</w:t>
            </w:r>
            <w:r>
              <w:rPr>
                <w:rFonts w:ascii="Book Antiqua" w:hAnsi="Book Antiqua"/>
                <w:vertAlign w:val="superscript"/>
              </w:rPr>
              <w:t>ème</w:t>
            </w:r>
            <w:r>
              <w:rPr>
                <w:rFonts w:ascii="Book Antiqua" w:hAnsi="Book Antiqua"/>
                <w:lang w:val="es-ES_tradnl"/>
              </w:rPr>
              <w:t xml:space="preserve"> PB </w:t>
            </w:r>
            <w:proofErr w:type="spellStart"/>
            <w:r>
              <w:rPr>
                <w:rFonts w:ascii="Book Antiqua" w:hAnsi="Book Antiqua"/>
                <w:lang w:val="es-ES_tradnl"/>
              </w:rPr>
              <w:t>Puériculteur</w:t>
            </w:r>
            <w:proofErr w:type="spellEnd"/>
            <w:r>
              <w:rPr>
                <w:rFonts w:ascii="Book Antiqua" w:hAnsi="Book Antiqua"/>
                <w:lang w:val="es-ES_tradnl"/>
              </w:rPr>
              <w:t>/</w:t>
            </w:r>
            <w:proofErr w:type="spellStart"/>
            <w:r>
              <w:rPr>
                <w:rFonts w:ascii="Book Antiqua" w:hAnsi="Book Antiqua"/>
                <w:lang w:val="es-ES_tradnl"/>
              </w:rPr>
              <w:t>Puéricultrice</w:t>
            </w:r>
            <w:proofErr w:type="spellEnd"/>
            <w:r>
              <w:rPr>
                <w:rFonts w:ascii="Book Antiqua" w:hAnsi="Book Antiqua"/>
                <w:lang w:val="es-ES_tradnl"/>
              </w:rPr>
              <w:t xml:space="preserv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r>
              <w:rPr>
                <w:rFonts w:ascii="Book Antiqua" w:hAnsi="Book Antiqua"/>
                <w:vertAlign w:val="superscript"/>
              </w:rPr>
              <w:t>2</w:t>
            </w:r>
            <w:r>
              <w:rPr>
                <w:rFonts w:ascii="Book Antiqua" w:hAnsi="Book Antiqua"/>
              </w:rPr>
              <w:t>/SN</w:t>
            </w: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8326</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Coiffeur / Coiffeuse Manager</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bl>
    <w:p>
      <w:pPr>
        <w:pStyle w:val="niveau4"/>
        <w:ind w:left="709"/>
      </w:pPr>
    </w:p>
    <w:p>
      <w:pPr>
        <w:pStyle w:val="niveau4"/>
        <w:ind w:left="709"/>
      </w:pPr>
      <w:bookmarkStart w:id="97" w:name="_Toc522700813"/>
      <w:r>
        <w:t>5. Répertoire des options de base groupées des 7</w:t>
      </w:r>
      <w:r>
        <w:rPr>
          <w:vertAlign w:val="superscript"/>
        </w:rPr>
        <w:t>èmes</w:t>
      </w:r>
      <w:r>
        <w:t xml:space="preserve"> années complémentaires</w:t>
      </w:r>
      <w:bookmarkEnd w:id="97"/>
    </w:p>
    <w:p>
      <w:pPr>
        <w:ind w:left="1135" w:hanging="426"/>
        <w:jc w:val="both"/>
      </w:pPr>
      <w:r>
        <w:rPr>
          <w:rFonts w:ascii="Book Antiqua" w:hAnsi="Book Antiqua"/>
        </w:rPr>
        <w:tab/>
      </w:r>
    </w:p>
    <w:p>
      <w:pPr>
        <w:ind w:left="1135" w:hanging="426"/>
        <w:jc w:val="both"/>
        <w:rPr>
          <w:b/>
          <w:i/>
        </w:rPr>
      </w:pPr>
      <w:r>
        <w:rPr>
          <w:b/>
          <w:i/>
        </w:rPr>
        <w:t>7</w:t>
      </w:r>
      <w:r>
        <w:rPr>
          <w:b/>
          <w:i/>
          <w:vertAlign w:val="superscript"/>
        </w:rPr>
        <w:t xml:space="preserve">èmes </w:t>
      </w:r>
      <w:r>
        <w:rPr>
          <w:b/>
          <w:i/>
        </w:rPr>
        <w:t>années complémentaires - Technique de Qualification :</w:t>
      </w: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285"/>
        </w:trPr>
        <w:tc>
          <w:tcPr>
            <w:tcW w:w="700" w:type="dxa"/>
            <w:tcBorders>
              <w:top w:val="single" w:sz="4" w:space="0" w:color="000000"/>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1: Agronomie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1313</w:t>
            </w:r>
          </w:p>
        </w:tc>
        <w:tc>
          <w:tcPr>
            <w:tcW w:w="765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diversification et aménagement d’espace rural S-O</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2 : Industrie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2414</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productique L</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2217</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systèmes électroniques de l’automobile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microtechnique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2641</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maintenance aéronautique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2642</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soudage aéronautique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2416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maintenance d’équipements biomédicaux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2712</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plasturgie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3 : Construction</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3130</w:t>
            </w:r>
          </w:p>
        </w:tc>
        <w:tc>
          <w:tcPr>
            <w:tcW w:w="765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industrie du bois L</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4 : Hôtellerie – alimentation</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4121</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hôtellerie européenne L</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4122</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accueil et réception en milieu hôtelier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6 : Arts appliqués</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6218</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techniques d'infographie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6313</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arts visuels appliqués à la photographie L</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7 : Economie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7213</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techniques spécialisées du tertiaire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7407</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techniques spécialisées de tourisme L</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8 : Services aux personnes</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285"/>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8121</w:t>
            </w:r>
          </w:p>
        </w:tc>
        <w:tc>
          <w:tcPr>
            <w:tcW w:w="765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animation socio-culturelle et éducative S-O</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9 : Sciences appliquées</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9313</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officine hospitalière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9314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maintenance des procédés de fabrication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9315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biochimie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bl>
    <w:p>
      <w:pPr>
        <w:pStyle w:val="Commentaire1"/>
        <w:pageBreakBefore/>
        <w:ind w:left="709"/>
        <w:jc w:val="both"/>
        <w:rPr>
          <w:rFonts w:ascii="Book Antiqua" w:hAnsi="Book Antiqua" w:cs="Book Antiqua"/>
          <w:b/>
          <w:i/>
          <w:color w:val="000000"/>
        </w:rPr>
      </w:pPr>
      <w:r>
        <w:rPr>
          <w:rFonts w:ascii="Book Antiqua" w:hAnsi="Book Antiqua" w:cs="Book Antiqua"/>
          <w:b/>
          <w:i/>
          <w:color w:val="000000"/>
        </w:rPr>
        <w:lastRenderedPageBreak/>
        <w:t>7</w:t>
      </w:r>
      <w:r>
        <w:rPr>
          <w:rFonts w:ascii="Book Antiqua" w:hAnsi="Book Antiqua" w:cs="Book Antiqua"/>
          <w:b/>
          <w:i/>
          <w:color w:val="000000"/>
          <w:vertAlign w:val="superscript"/>
        </w:rPr>
        <w:t xml:space="preserve">èmes </w:t>
      </w:r>
      <w:r>
        <w:rPr>
          <w:rFonts w:ascii="Book Antiqua" w:hAnsi="Book Antiqua" w:cs="Book Antiqua"/>
          <w:b/>
          <w:i/>
          <w:color w:val="000000"/>
        </w:rPr>
        <w:t>années complémentaires – Professionnel :</w:t>
      </w: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300"/>
        </w:trPr>
        <w:tc>
          <w:tcPr>
            <w:tcW w:w="700" w:type="dxa"/>
            <w:tcBorders>
              <w:top w:val="single" w:sz="4" w:space="0" w:color="000000"/>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1: Agronomie</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1113</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diversification des productions et transformation de produits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1114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productions agricoles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1211</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productions horticoles et décoration florale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1213</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art floral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1405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élevage et gestion de troupeaux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1406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d'enseignement de l’équitation  L </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1316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conduite d’engins forestiers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1115</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mécanique agricole et/ou horticole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2 : Industrie</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2330</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d’industrie graphique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2415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maintenance d'équipements techniques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2523</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électricité de l'automobile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soudage sur tôles et sur tubes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2637</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conduite de poids lourds et manutention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d'armurerie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2639</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d'horlogerie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2640</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chaudronnerie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2714</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travaux sur carrosserie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3 : Construction</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3125</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création et restauration de meubles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3126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marqueterie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3128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sculpture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3305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pose de pierres naturelles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3306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en construction – gros œuvre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3307</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marbrerie-gravure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3426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agencement d'intérieur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3227</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couverture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3518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vitrerie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3514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plâtrage, cimentage et enduisage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3515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de tapisserie - garnissage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3516</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peinture industrielle L</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bCs/>
              </w:rPr>
            </w:pPr>
            <w:r>
              <w:rPr>
                <w:rFonts w:ascii="Book Antiqua" w:hAnsi="Book Antiqua"/>
                <w:bCs/>
              </w:rPr>
              <w:t>3519</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Cs/>
              </w:rPr>
            </w:pPr>
            <w:r>
              <w:rPr>
                <w:rFonts w:ascii="Book Antiqua" w:hAnsi="Book Antiqua"/>
                <w:bCs/>
              </w:rPr>
              <w:t>7</w:t>
            </w:r>
            <w:r>
              <w:rPr>
                <w:rFonts w:ascii="Book Antiqua" w:hAnsi="Book Antiqua"/>
                <w:bCs/>
                <w:vertAlign w:val="superscript"/>
              </w:rPr>
              <w:t>ème</w:t>
            </w:r>
            <w:r>
              <w:rPr>
                <w:rFonts w:ascii="Book Antiqua" w:hAnsi="Book Antiqua"/>
                <w:bCs/>
              </w:rPr>
              <w:t xml:space="preserve"> PB Complément en peinture-décoration S-O</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Cs/>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4 : Hôtellerie – alimentation</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4123</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cuisine internationale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4124</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restauration S-O </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5: Habillement - Textile</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5234</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confection sur mesures et demi-mesures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5238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stylisme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5235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lingerie fine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top w:val="single" w:sz="4" w:space="0" w:color="000000"/>
              <w:left w:val="single" w:sz="4" w:space="0" w:color="000000"/>
              <w:bottom w:val="single" w:sz="4" w:space="0" w:color="000000"/>
            </w:tcBorders>
          </w:tcPr>
          <w:p>
            <w:pPr>
              <w:snapToGrid w:val="0"/>
              <w:jc w:val="right"/>
              <w:rPr>
                <w:rFonts w:ascii="Book Antiqua" w:hAnsi="Book Antiqua"/>
              </w:rPr>
            </w:pPr>
            <w:r>
              <w:rPr>
                <w:rFonts w:ascii="Book Antiqua" w:hAnsi="Book Antiqua"/>
              </w:rPr>
              <w:t>5236</w:t>
            </w:r>
          </w:p>
        </w:tc>
        <w:tc>
          <w:tcPr>
            <w:tcW w:w="7655" w:type="dxa"/>
            <w:tcBorders>
              <w:top w:val="single" w:sz="4"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vêtements de travail et de loisirs S-O</w:t>
            </w:r>
          </w:p>
        </w:tc>
        <w:tc>
          <w:tcPr>
            <w:tcW w:w="697" w:type="dxa"/>
            <w:tcBorders>
              <w:top w:val="single" w:sz="4"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top w:val="single" w:sz="4" w:space="0" w:color="000000"/>
              <w:left w:val="single" w:sz="4" w:space="0" w:color="000000"/>
              <w:bottom w:val="single" w:sz="4" w:space="0" w:color="000000"/>
            </w:tcBorders>
          </w:tcPr>
          <w:p>
            <w:pPr>
              <w:snapToGrid w:val="0"/>
              <w:jc w:val="right"/>
              <w:rPr>
                <w:rFonts w:ascii="Book Antiqua" w:hAnsi="Book Antiqua"/>
              </w:rPr>
            </w:pPr>
            <w:r>
              <w:rPr>
                <w:rFonts w:ascii="Book Antiqua" w:hAnsi="Book Antiqua"/>
              </w:rPr>
              <w:t>5303</w:t>
            </w:r>
          </w:p>
        </w:tc>
        <w:tc>
          <w:tcPr>
            <w:tcW w:w="7655" w:type="dxa"/>
            <w:tcBorders>
              <w:top w:val="single" w:sz="4"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textile et confection d’ameublement S-O</w:t>
            </w:r>
          </w:p>
        </w:tc>
        <w:tc>
          <w:tcPr>
            <w:tcW w:w="697" w:type="dxa"/>
            <w:tcBorders>
              <w:top w:val="single" w:sz="4"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bl>
    <w:p>
      <w:pPr>
        <w:pageBreakBefore/>
      </w:pP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300"/>
        </w:trPr>
        <w:tc>
          <w:tcPr>
            <w:tcW w:w="700" w:type="dxa"/>
            <w:tcBorders>
              <w:top w:val="single" w:sz="4" w:space="0" w:color="000000"/>
              <w:left w:val="single" w:sz="4" w:space="0" w:color="000000"/>
              <w:bottom w:val="single" w:sz="4" w:space="0" w:color="000000"/>
            </w:tcBorders>
          </w:tcPr>
          <w:p>
            <w:pPr>
              <w:snapToGrid w:val="0"/>
              <w:rPr>
                <w:rFonts w:ascii="Book Antiqua" w:eastAsia="Arial Unicode MS" w:hAnsi="Book Antiqua"/>
                <w:b/>
                <w:bCs/>
              </w:rPr>
            </w:pPr>
          </w:p>
        </w:tc>
        <w:tc>
          <w:tcPr>
            <w:tcW w:w="765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6 : Arts appliqués</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6219</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publicitaires S-O </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6220</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décoration L  </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6408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joaillerie – sertissure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6409</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gravure-ciselure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6410</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bijouterie - horlogerie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7 : Economie</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7131</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de vente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7408</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accueil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8 : Services aux personnes</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8122</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monitorat de collectivités d'enfants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8215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gériatrie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8324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vente en parfumerie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8325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pédicurie – </w:t>
            </w:r>
            <w:proofErr w:type="spellStart"/>
            <w:r>
              <w:rPr>
                <w:rFonts w:ascii="Book Antiqua" w:hAnsi="Book Antiqua"/>
              </w:rPr>
              <w:t>manucurie</w:t>
            </w:r>
            <w:proofErr w:type="spellEnd"/>
            <w:r>
              <w:rPr>
                <w:rFonts w:ascii="Book Antiqua" w:hAnsi="Book Antiqua"/>
              </w:rPr>
              <w:t xml:space="preserv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8214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éducation sanitaire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8322</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d'esthétique : orientation artistique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9 : Sciences appliquées</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69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9101</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production des entreprises agroalimentaires S-O </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bl>
    <w:p>
      <w:pPr>
        <w:pStyle w:val="niveau3"/>
        <w:pageBreakBefore/>
        <w:ind w:left="709"/>
      </w:pPr>
      <w:bookmarkStart w:id="98" w:name="_Toc522700814"/>
      <w:r>
        <w:lastRenderedPageBreak/>
        <w:t xml:space="preserve">v. </w:t>
      </w:r>
      <w:r>
        <w:rPr>
          <w:u w:val="single"/>
        </w:rPr>
        <w:t>tableau des secteurs et des groupes</w:t>
      </w:r>
      <w:r>
        <w:t xml:space="preserve"> </w:t>
      </w:r>
      <w:r>
        <w:rPr>
          <w:rStyle w:val="Caractresdenotedebasdepage"/>
          <w:rFonts w:cs="Book Antiqua"/>
          <w:color w:val="000000"/>
        </w:rPr>
        <w:footnoteReference w:id="193"/>
      </w:r>
      <w:bookmarkEnd w:id="98"/>
      <w:r>
        <w:t xml:space="preserve"> </w:t>
      </w:r>
    </w:p>
    <w:p>
      <w:pPr>
        <w:tabs>
          <w:tab w:val="center" w:pos="4513"/>
        </w:tabs>
        <w:ind w:left="1560" w:hanging="567"/>
        <w:jc w:val="both"/>
        <w:rPr>
          <w:rFonts w:ascii="Book Antiqua" w:hAnsi="Book Antiqua" w:cs="Book Antiqua"/>
          <w:color w:val="000000"/>
          <w:spacing w:val="-2"/>
        </w:rPr>
      </w:pPr>
      <w:r>
        <w:rPr>
          <w:rFonts w:ascii="Book Antiqua" w:hAnsi="Book Antiqua" w:cs="Book Antiqua"/>
          <w:color w:val="000000"/>
          <w:spacing w:val="-2"/>
        </w:rPr>
        <w:t>Les options groupées sont classées à l'intérieur des secteurs et des groupes suivants :</w:t>
      </w:r>
    </w:p>
    <w:p>
      <w:pPr>
        <w:tabs>
          <w:tab w:val="center" w:pos="4513"/>
        </w:tabs>
        <w:ind w:left="1418" w:hanging="425"/>
        <w:jc w:val="both"/>
        <w:rPr>
          <w:rFonts w:ascii="Book Antiqua" w:hAnsi="Book Antiqua" w:cs="Book Antiqua"/>
          <w:b/>
          <w:color w:val="000000"/>
          <w:spacing w:val="-2"/>
          <w:u w:val="single"/>
        </w:rPr>
      </w:pPr>
      <w:r>
        <w:rPr>
          <w:rFonts w:ascii="Book Antiqua" w:hAnsi="Book Antiqua" w:cs="Book Antiqua"/>
          <w:color w:val="000000"/>
          <w:spacing w:val="-2"/>
          <w:u w:val="single"/>
        </w:rPr>
        <w:t xml:space="preserve"> </w:t>
      </w:r>
      <w:r>
        <w:rPr>
          <w:rFonts w:ascii="Book Antiqua" w:hAnsi="Book Antiqua" w:cs="Book Antiqua"/>
          <w:b/>
          <w:color w:val="000000"/>
          <w:spacing w:val="-2"/>
          <w:u w:val="single"/>
        </w:rPr>
        <w:t>Secteurs</w:t>
      </w:r>
      <w:r>
        <w:rPr>
          <w:rFonts w:ascii="Book Antiqua" w:hAnsi="Book Antiqua" w:cs="Book Antiqua"/>
          <w:b/>
          <w:color w:val="000000"/>
          <w:spacing w:val="-2"/>
        </w:rPr>
        <w:tab/>
      </w:r>
      <w:r>
        <w:rPr>
          <w:rFonts w:ascii="Book Antiqua" w:hAnsi="Book Antiqua" w:cs="Book Antiqua"/>
          <w:b/>
          <w:color w:val="000000"/>
          <w:spacing w:val="-2"/>
          <w:u w:val="single"/>
        </w:rPr>
        <w:t>Groupes</w:t>
      </w:r>
    </w:p>
    <w:p>
      <w:pPr>
        <w:tabs>
          <w:tab w:val="left" w:pos="7064"/>
        </w:tabs>
        <w:spacing w:before="60"/>
        <w:ind w:left="4537" w:hanging="3544"/>
        <w:jc w:val="both"/>
        <w:rPr>
          <w:rFonts w:ascii="Book Antiqua" w:hAnsi="Book Antiqua" w:cs="Book Antiqua"/>
          <w:color w:val="000000"/>
          <w:spacing w:val="-2"/>
        </w:rPr>
      </w:pPr>
      <w:r>
        <w:rPr>
          <w:rFonts w:ascii="Book Antiqua" w:hAnsi="Book Antiqua" w:cs="Book Antiqua"/>
          <w:color w:val="000000"/>
          <w:spacing w:val="-2"/>
        </w:rPr>
        <w:t>1. Agronomie</w:t>
      </w:r>
      <w:r>
        <w:rPr>
          <w:rFonts w:ascii="Book Antiqua" w:hAnsi="Book Antiqua" w:cs="Book Antiqua"/>
          <w:color w:val="000000"/>
          <w:spacing w:val="-2"/>
        </w:rPr>
        <w:tab/>
        <w:t xml:space="preserve">11. Agriculture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12. Horticulture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13. Sylviculture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14. Equitation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2. Industrie</w:t>
      </w:r>
      <w:r>
        <w:rPr>
          <w:rFonts w:ascii="Book Antiqua" w:hAnsi="Book Antiqua" w:cs="Book Antiqua"/>
          <w:color w:val="000000"/>
          <w:spacing w:val="-2"/>
        </w:rPr>
        <w:tab/>
        <w:t xml:space="preserve">21. Electricité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22. Electronique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23. Mécanique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24. Automation </w:t>
      </w:r>
    </w:p>
    <w:p>
      <w:pPr>
        <w:tabs>
          <w:tab w:val="left" w:pos="7064"/>
        </w:tabs>
        <w:ind w:left="4537" w:hanging="2410"/>
        <w:jc w:val="both"/>
        <w:rPr>
          <w:rFonts w:ascii="Book Antiqua" w:hAnsi="Book Antiqua" w:cs="Book Antiqua"/>
          <w:color w:val="000000"/>
          <w:spacing w:val="-2"/>
        </w:rPr>
      </w:pPr>
      <w:r>
        <w:rPr>
          <w:rFonts w:ascii="Book Antiqua" w:hAnsi="Book Antiqua" w:cs="Book Antiqua"/>
          <w:color w:val="000000"/>
          <w:spacing w:val="-2"/>
        </w:rPr>
        <w:tab/>
        <w:t xml:space="preserve">25. Mécanique des moteurs </w:t>
      </w:r>
    </w:p>
    <w:p>
      <w:pPr>
        <w:tabs>
          <w:tab w:val="left" w:pos="7064"/>
        </w:tabs>
        <w:ind w:left="4537" w:hanging="2410"/>
        <w:jc w:val="both"/>
        <w:rPr>
          <w:rFonts w:ascii="Book Antiqua" w:hAnsi="Book Antiqua" w:cs="Book Antiqua"/>
          <w:color w:val="000000"/>
          <w:spacing w:val="-2"/>
        </w:rPr>
      </w:pPr>
      <w:r>
        <w:rPr>
          <w:rFonts w:ascii="Book Antiqua" w:hAnsi="Book Antiqua" w:cs="Book Antiqua"/>
          <w:color w:val="000000"/>
          <w:spacing w:val="-2"/>
        </w:rPr>
        <w:tab/>
        <w:t xml:space="preserve">26. Mécanique appliquée </w:t>
      </w:r>
    </w:p>
    <w:p>
      <w:pPr>
        <w:tabs>
          <w:tab w:val="left" w:pos="7064"/>
        </w:tabs>
        <w:ind w:left="4537" w:hanging="2410"/>
        <w:jc w:val="both"/>
        <w:rPr>
          <w:rFonts w:ascii="Book Antiqua" w:hAnsi="Book Antiqua" w:cs="Book Antiqua"/>
          <w:color w:val="000000"/>
          <w:spacing w:val="-2"/>
        </w:rPr>
      </w:pPr>
      <w:r>
        <w:rPr>
          <w:rFonts w:ascii="Book Antiqua" w:hAnsi="Book Antiqua" w:cs="Book Antiqua"/>
          <w:color w:val="000000"/>
          <w:spacing w:val="-2"/>
        </w:rPr>
        <w:tab/>
        <w:t xml:space="preserve">27. Métal </w:t>
      </w:r>
    </w:p>
    <w:p>
      <w:pPr>
        <w:tabs>
          <w:tab w:val="left" w:pos="7064"/>
        </w:tabs>
        <w:ind w:left="4537" w:hanging="2410"/>
        <w:jc w:val="both"/>
        <w:rPr>
          <w:rFonts w:ascii="Book Antiqua" w:hAnsi="Book Antiqua" w:cs="Book Antiqua"/>
          <w:color w:val="000000"/>
          <w:spacing w:val="-2"/>
        </w:rPr>
      </w:pPr>
      <w:r>
        <w:rPr>
          <w:rFonts w:ascii="Book Antiqua" w:hAnsi="Book Antiqua" w:cs="Book Antiqua"/>
          <w:color w:val="000000"/>
          <w:spacing w:val="-2"/>
        </w:rPr>
        <w:tab/>
        <w:t xml:space="preserve">28. Froid – chaud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3. Construction</w:t>
      </w:r>
      <w:r>
        <w:rPr>
          <w:rFonts w:ascii="Book Antiqua" w:hAnsi="Book Antiqua" w:cs="Book Antiqua"/>
          <w:color w:val="000000"/>
          <w:spacing w:val="-2"/>
        </w:rPr>
        <w:tab/>
        <w:t xml:space="preserve">31. Bois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32. Construction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33. Gros œuvre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34. Equipement du bâtiment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35. Parachèvement du bâtiment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4. Hôtellerie-Alimentation</w:t>
      </w:r>
      <w:r>
        <w:rPr>
          <w:rFonts w:ascii="Book Antiqua" w:hAnsi="Book Antiqua" w:cs="Book Antiqua"/>
          <w:color w:val="000000"/>
          <w:spacing w:val="-2"/>
        </w:rPr>
        <w:tab/>
        <w:t xml:space="preserve">41. Hôtellerie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42. Boucherie – charcuterie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43. Boulangerie – pâtisserie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44. Cuisine de collectivité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5. Habillement et textile</w:t>
      </w:r>
      <w:r>
        <w:rPr>
          <w:rFonts w:ascii="Book Antiqua" w:hAnsi="Book Antiqua" w:cs="Book Antiqua"/>
          <w:color w:val="000000"/>
          <w:spacing w:val="-2"/>
        </w:rPr>
        <w:tab/>
        <w:t xml:space="preserve">51. Industrie textile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52. Confection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53. Ameublement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6. Arts appliqués</w:t>
      </w:r>
      <w:r>
        <w:rPr>
          <w:rFonts w:ascii="Book Antiqua" w:hAnsi="Book Antiqua" w:cs="Book Antiqua"/>
          <w:color w:val="000000"/>
          <w:spacing w:val="-2"/>
        </w:rPr>
        <w:tab/>
        <w:t xml:space="preserve">61. Arts décoratifs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62. Arts graphiques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63. Audiovisuel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64. Orfèvrerie</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7. Economie</w:t>
      </w:r>
      <w:r>
        <w:rPr>
          <w:rFonts w:ascii="Book Antiqua" w:hAnsi="Book Antiqua" w:cs="Book Antiqua"/>
          <w:color w:val="000000"/>
          <w:spacing w:val="-2"/>
        </w:rPr>
        <w:tab/>
        <w:t xml:space="preserve">71. Gestion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72. Secrétariat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73. Langues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74. Tourisme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8. Services aux personnes</w:t>
      </w:r>
      <w:r>
        <w:rPr>
          <w:rFonts w:ascii="Book Antiqua" w:hAnsi="Book Antiqua" w:cs="Book Antiqua"/>
          <w:color w:val="000000"/>
          <w:spacing w:val="-2"/>
        </w:rPr>
        <w:tab/>
        <w:t xml:space="preserve">81. Services sociaux et familiaux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82. Services paramédicaux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83. Soins de beauté </w:t>
      </w:r>
    </w:p>
    <w:p>
      <w:pPr>
        <w:tabs>
          <w:tab w:val="left" w:pos="7064"/>
        </w:tabs>
        <w:spacing w:after="240"/>
        <w:ind w:left="4537" w:hanging="3544"/>
        <w:jc w:val="both"/>
        <w:rPr>
          <w:rFonts w:ascii="Book Antiqua" w:hAnsi="Book Antiqua" w:cs="Book Antiqua"/>
          <w:color w:val="000000"/>
          <w:spacing w:val="-2"/>
        </w:rPr>
      </w:pPr>
      <w:r>
        <w:rPr>
          <w:rFonts w:ascii="Book Antiqua" w:hAnsi="Book Antiqua" w:cs="Book Antiqua"/>
          <w:color w:val="000000"/>
          <w:spacing w:val="-2"/>
        </w:rPr>
        <w:tab/>
        <w:t>84. Education physique</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9. Sciences appliquées</w:t>
      </w:r>
      <w:r>
        <w:rPr>
          <w:rFonts w:ascii="Book Antiqua" w:hAnsi="Book Antiqua" w:cs="Book Antiqua"/>
          <w:color w:val="000000"/>
          <w:spacing w:val="-2"/>
        </w:rPr>
        <w:tab/>
        <w:t xml:space="preserve">91. Sciences appliquées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92. Optique, acoustique et prothèse dentaire</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93. Chimie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10. Beaux-arts</w:t>
      </w:r>
      <w:r>
        <w:rPr>
          <w:rFonts w:ascii="Book Antiqua" w:hAnsi="Book Antiqua" w:cs="Book Antiqua"/>
          <w:color w:val="000000"/>
          <w:spacing w:val="-2"/>
        </w:rPr>
        <w:tab/>
        <w:t xml:space="preserve">101. Arts-Sciences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102. Arts plastiques </w:t>
      </w:r>
    </w:p>
    <w:p>
      <w:pPr>
        <w:tabs>
          <w:tab w:val="left" w:pos="7064"/>
        </w:tabs>
        <w:ind w:left="4537" w:hanging="3544"/>
        <w:rPr>
          <w:spacing w:val="-2"/>
        </w:rPr>
      </w:pPr>
      <w:r>
        <w:rPr>
          <w:spacing w:val="-2"/>
        </w:rPr>
        <w:tab/>
        <w:t>103. Danse</w:t>
      </w:r>
    </w:p>
    <w:p>
      <w:pPr>
        <w:tabs>
          <w:tab w:val="left" w:pos="7064"/>
        </w:tabs>
        <w:ind w:left="4537" w:hanging="3544"/>
        <w:rPr>
          <w:spacing w:val="-2"/>
        </w:rPr>
        <w:sectPr>
          <w:footerReference w:type="default" r:id="rId39"/>
          <w:type w:val="oddPage"/>
          <w:pgSz w:w="11906" w:h="16838"/>
          <w:pgMar w:top="1417" w:right="1417" w:bottom="993" w:left="1417" w:header="708" w:footer="708" w:gutter="0"/>
          <w:cols w:space="720"/>
          <w:rtlGutter/>
          <w:docGrid w:linePitch="360"/>
        </w:sectPr>
      </w:pPr>
    </w:p>
    <w:p>
      <w:pPr>
        <w:pStyle w:val="niveau2"/>
        <w:spacing w:after="240"/>
        <w:ind w:left="709"/>
        <w:outlineLvl w:val="0"/>
        <w:rPr>
          <w:color w:val="000000"/>
        </w:rPr>
      </w:pPr>
      <w:bookmarkStart w:id="99" w:name="_Toc522700815"/>
      <w:r>
        <w:lastRenderedPageBreak/>
        <w:t>CHAPITRE VII : NORMES DE MAINTIEN</w:t>
      </w:r>
      <w:r>
        <w:rPr>
          <w:color w:val="000000"/>
        </w:rPr>
        <w:t xml:space="preserve"> (« Article 49 »)</w:t>
      </w:r>
      <w:bookmarkEnd w:id="99"/>
    </w:p>
    <w:p>
      <w:pPr>
        <w:pStyle w:val="Corpsdetexte"/>
        <w:spacing w:after="120"/>
        <w:ind w:left="709"/>
        <w:rPr>
          <w:rFonts w:ascii="Book Antiqua" w:hAnsi="Book Antiqua" w:cs="Book Antiqua"/>
          <w:color w:val="000000"/>
          <w:spacing w:val="-2"/>
          <w:sz w:val="20"/>
          <w:szCs w:val="20"/>
        </w:rPr>
      </w:pPr>
      <w:r>
        <w:rPr>
          <w:rFonts w:ascii="Book Antiqua" w:hAnsi="Book Antiqua" w:cs="Book Antiqua"/>
          <w:color w:val="000000"/>
          <w:spacing w:val="-2"/>
          <w:sz w:val="20"/>
          <w:szCs w:val="20"/>
        </w:rPr>
        <w:t xml:space="preserve">Un tableau reprenant les normes de création d’options de base groupées (OBG) dans l’enseignement secondaire en alternance – « article 49 » - se trouve dans le chapitre VI de la présente circulaire. </w:t>
      </w:r>
    </w:p>
    <w:p>
      <w:pPr>
        <w:tabs>
          <w:tab w:val="left" w:pos="828"/>
          <w:tab w:val="left" w:pos="7064"/>
        </w:tabs>
        <w:spacing w:after="240"/>
        <w:ind w:left="709"/>
        <w:jc w:val="both"/>
      </w:pPr>
      <w:r>
        <w:rPr>
          <w:rFonts w:ascii="Book Antiqua" w:hAnsi="Book Antiqua" w:cs="Book Antiqua"/>
          <w:color w:val="000000"/>
          <w:spacing w:val="-2"/>
        </w:rPr>
        <w:t xml:space="preserve">Pour l’application des normes de maintien, un élève du CEFA est pris en compte de manière égale à un élève du plein exercice. </w:t>
      </w:r>
      <w:r>
        <w:rPr>
          <w:rStyle w:val="Caractresdenotedebasdepage"/>
          <w:rFonts w:ascii="Book Antiqua" w:hAnsi="Book Antiqua" w:cs="Book Antiqua"/>
          <w:color w:val="000000"/>
          <w:spacing w:val="-2"/>
        </w:rPr>
        <w:footnoteReference w:id="194"/>
      </w:r>
    </w:p>
    <w:p>
      <w:pPr>
        <w:pStyle w:val="niveau3"/>
        <w:numPr>
          <w:ilvl w:val="0"/>
          <w:numId w:val="64"/>
        </w:numPr>
      </w:pPr>
      <w:bookmarkStart w:id="100" w:name="_Toc522700816"/>
      <w:r>
        <w:rPr>
          <w:u w:val="single"/>
        </w:rPr>
        <w:t>Normes de maintien par degré et forme</w:t>
      </w:r>
      <w:r>
        <w:t xml:space="preserve"> </w:t>
      </w:r>
      <w:r>
        <w:rPr>
          <w:rStyle w:val="Caractresdenotedebasdepage"/>
          <w:rFonts w:cs="Book Antiqua"/>
          <w:color w:val="000000"/>
        </w:rPr>
        <w:footnoteReference w:id="195"/>
      </w:r>
      <w:bookmarkEnd w:id="100"/>
    </w:p>
    <w:p>
      <w:pPr>
        <w:pStyle w:val="niveau3"/>
        <w:ind w:left="1429"/>
        <w:rPr>
          <w:color w:val="000000"/>
          <w:spacing w:val="-2"/>
        </w:rPr>
      </w:pPr>
    </w:p>
    <w:tbl>
      <w:tblPr>
        <w:tblW w:w="0" w:type="auto"/>
        <w:tblInd w:w="349" w:type="dxa"/>
        <w:tblLayout w:type="fixed"/>
        <w:tblCellMar>
          <w:left w:w="70" w:type="dxa"/>
          <w:right w:w="70" w:type="dxa"/>
        </w:tblCellMar>
        <w:tblLook w:val="0000" w:firstRow="0" w:lastRow="0" w:firstColumn="0" w:lastColumn="0" w:noHBand="0" w:noVBand="0"/>
      </w:tblPr>
      <w:tblGrid>
        <w:gridCol w:w="1843"/>
        <w:gridCol w:w="1275"/>
        <w:gridCol w:w="2410"/>
        <w:gridCol w:w="1418"/>
        <w:gridCol w:w="2278"/>
      </w:tblGrid>
      <w:tr>
        <w:tc>
          <w:tcPr>
            <w:tcW w:w="1843" w:type="dxa"/>
            <w:tcBorders>
              <w:top w:val="single" w:sz="4" w:space="0" w:color="000000"/>
              <w:left w:val="single" w:sz="4" w:space="0" w:color="000000"/>
              <w:bottom w:val="single" w:sz="4" w:space="0" w:color="000000"/>
            </w:tcBorders>
          </w:tcPr>
          <w:p>
            <w:pPr>
              <w:tabs>
                <w:tab w:val="left" w:pos="828"/>
                <w:tab w:val="left" w:pos="7064"/>
              </w:tabs>
              <w:snapToGrid w:val="0"/>
              <w:jc w:val="both"/>
              <w:rPr>
                <w:rFonts w:ascii="Book Antiqua" w:hAnsi="Book Antiqua" w:cs="Book Antiqua"/>
                <w:color w:val="000000"/>
                <w:spacing w:val="-2"/>
              </w:rPr>
            </w:pPr>
          </w:p>
        </w:tc>
        <w:tc>
          <w:tcPr>
            <w:tcW w:w="1275" w:type="dxa"/>
            <w:tcBorders>
              <w:top w:val="single" w:sz="4" w:space="0" w:color="000000"/>
              <w:left w:val="single" w:sz="4" w:space="0" w:color="000000"/>
              <w:bottom w:val="single" w:sz="4" w:space="0" w:color="000000"/>
            </w:tcBorders>
          </w:tcPr>
          <w:p>
            <w:pPr>
              <w:pStyle w:val="Titre1"/>
              <w:tabs>
                <w:tab w:val="clear" w:pos="432"/>
                <w:tab w:val="clear" w:pos="1349"/>
                <w:tab w:val="num" w:pos="76"/>
                <w:tab w:val="left" w:pos="828"/>
                <w:tab w:val="left" w:pos="7064"/>
              </w:tabs>
              <w:snapToGrid w:val="0"/>
              <w:ind w:left="0" w:firstLine="0"/>
              <w:jc w:val="both"/>
              <w:rPr>
                <w:rFonts w:ascii="Book Antiqua" w:hAnsi="Book Antiqua" w:cs="Book Antiqua"/>
                <w:color w:val="000000"/>
                <w:spacing w:val="-2"/>
                <w:sz w:val="20"/>
                <w:szCs w:val="20"/>
              </w:rPr>
            </w:pPr>
            <w:r>
              <w:rPr>
                <w:rFonts w:ascii="Book Antiqua" w:hAnsi="Book Antiqua" w:cs="Book Antiqua"/>
                <w:color w:val="000000"/>
                <w:spacing w:val="-2"/>
                <w:sz w:val="20"/>
                <w:szCs w:val="20"/>
              </w:rPr>
              <w:t xml:space="preserve">Règle </w:t>
            </w:r>
          </w:p>
          <w:p>
            <w:r>
              <w:rPr>
                <w:b/>
              </w:rPr>
              <w:t>générale</w:t>
            </w:r>
          </w:p>
        </w:tc>
        <w:tc>
          <w:tcPr>
            <w:tcW w:w="2410"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b/>
                <w:color w:val="000000"/>
                <w:spacing w:val="-2"/>
              </w:rPr>
            </w:pPr>
            <w:r>
              <w:rPr>
                <w:rFonts w:ascii="Book Antiqua" w:hAnsi="Book Antiqua" w:cs="Book Antiqua"/>
                <w:b/>
                <w:color w:val="000000"/>
                <w:spacing w:val="-2"/>
              </w:rPr>
              <w:t>Libre-choix :</w:t>
            </w:r>
          </w:p>
          <w:p>
            <w:pPr>
              <w:tabs>
                <w:tab w:val="left" w:pos="828"/>
                <w:tab w:val="left" w:pos="7064"/>
              </w:tabs>
              <w:jc w:val="center"/>
              <w:rPr>
                <w:rFonts w:ascii="Book Antiqua" w:hAnsi="Book Antiqua" w:cs="Book Antiqua"/>
                <w:b/>
                <w:color w:val="000000"/>
                <w:spacing w:val="-2"/>
              </w:rPr>
            </w:pPr>
            <w:r>
              <w:rPr>
                <w:rFonts w:ascii="Book Antiqua" w:hAnsi="Book Antiqua" w:cs="Book Antiqua"/>
                <w:b/>
                <w:color w:val="000000"/>
                <w:spacing w:val="-2"/>
              </w:rPr>
              <w:t>+ de 8 km si R ou S</w:t>
            </w:r>
          </w:p>
          <w:p>
            <w:pPr>
              <w:tabs>
                <w:tab w:val="left" w:pos="828"/>
                <w:tab w:val="left" w:pos="7064"/>
              </w:tabs>
              <w:jc w:val="center"/>
              <w:rPr>
                <w:rFonts w:ascii="Book Antiqua" w:hAnsi="Book Antiqua" w:cs="Book Antiqua"/>
                <w:b/>
                <w:color w:val="000000"/>
                <w:spacing w:val="-2"/>
              </w:rPr>
            </w:pPr>
            <w:r>
              <w:rPr>
                <w:rFonts w:ascii="Book Antiqua" w:hAnsi="Book Antiqua" w:cs="Book Antiqua"/>
                <w:b/>
                <w:color w:val="000000"/>
                <w:spacing w:val="-2"/>
              </w:rPr>
              <w:t>+ de 12 km si N (1)</w:t>
            </w:r>
            <w:r>
              <w:rPr>
                <w:rStyle w:val="Caractresdenotedebasdepage"/>
                <w:rFonts w:ascii="Book Antiqua" w:hAnsi="Book Antiqua" w:cs="Book Antiqua"/>
                <w:color w:val="000000"/>
                <w:spacing w:val="-2"/>
              </w:rPr>
              <w:footnoteReference w:id="196"/>
            </w:r>
          </w:p>
        </w:tc>
        <w:tc>
          <w:tcPr>
            <w:tcW w:w="1418"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b/>
                <w:color w:val="000000"/>
                <w:spacing w:val="-2"/>
              </w:rPr>
            </w:pPr>
            <w:r>
              <w:rPr>
                <w:rFonts w:ascii="Book Antiqua" w:hAnsi="Book Antiqua" w:cs="Book Antiqua"/>
                <w:b/>
                <w:color w:val="000000"/>
                <w:spacing w:val="-2"/>
              </w:rPr>
              <w:t>A + de 20 km</w:t>
            </w:r>
          </w:p>
          <w:p>
            <w:pPr>
              <w:tabs>
                <w:tab w:val="left" w:pos="828"/>
                <w:tab w:val="left" w:pos="7064"/>
              </w:tabs>
              <w:jc w:val="center"/>
              <w:rPr>
                <w:rFonts w:ascii="Book Antiqua" w:hAnsi="Book Antiqua" w:cs="Book Antiqua"/>
                <w:b/>
                <w:color w:val="000000"/>
                <w:spacing w:val="-2"/>
              </w:rPr>
            </w:pPr>
            <w:r>
              <w:rPr>
                <w:rFonts w:ascii="Book Antiqua" w:hAnsi="Book Antiqua" w:cs="Book Antiqua"/>
                <w:b/>
                <w:color w:val="000000"/>
                <w:spacing w:val="-2"/>
              </w:rPr>
              <w:t xml:space="preserve"> (1)</w:t>
            </w:r>
            <w:r>
              <w:rPr>
                <w:rStyle w:val="Caractresdenotedebasdepage"/>
                <w:rFonts w:ascii="Book Antiqua" w:hAnsi="Book Antiqua" w:cs="Book Antiqua"/>
                <w:color w:val="000000"/>
                <w:spacing w:val="-2"/>
              </w:rPr>
              <w:footnoteReference w:id="197"/>
            </w:r>
          </w:p>
        </w:tc>
        <w:tc>
          <w:tcPr>
            <w:tcW w:w="2278" w:type="dxa"/>
            <w:tcBorders>
              <w:top w:val="single" w:sz="4" w:space="0" w:color="000000"/>
              <w:left w:val="single" w:sz="4" w:space="0" w:color="000000"/>
              <w:bottom w:val="single" w:sz="4" w:space="0" w:color="000000"/>
              <w:right w:val="single" w:sz="4" w:space="0" w:color="000000"/>
            </w:tcBorders>
          </w:tcPr>
          <w:p>
            <w:pPr>
              <w:tabs>
                <w:tab w:val="left" w:pos="828"/>
                <w:tab w:val="left" w:pos="7064"/>
              </w:tabs>
              <w:snapToGrid w:val="0"/>
              <w:jc w:val="center"/>
              <w:rPr>
                <w:rFonts w:ascii="Book Antiqua" w:hAnsi="Book Antiqua" w:cs="Book Antiqua"/>
                <w:b/>
                <w:color w:val="000000"/>
                <w:spacing w:val="-2"/>
              </w:rPr>
            </w:pPr>
            <w:r>
              <w:rPr>
                <w:rFonts w:ascii="Book Antiqua" w:hAnsi="Book Antiqua" w:cs="Book Antiqua"/>
                <w:b/>
                <w:color w:val="000000"/>
                <w:spacing w:val="-2"/>
              </w:rPr>
              <w:t>Rural sans la condition de 8 km (1)</w:t>
            </w:r>
            <w:r>
              <w:rPr>
                <w:rStyle w:val="Caractresdenotedebasdepage"/>
                <w:rFonts w:ascii="Book Antiqua" w:hAnsi="Book Antiqua" w:cs="Book Antiqua"/>
                <w:color w:val="000000"/>
                <w:spacing w:val="-2"/>
              </w:rPr>
              <w:footnoteReference w:id="198"/>
            </w:r>
          </w:p>
        </w:tc>
      </w:tr>
      <w:tr>
        <w:tc>
          <w:tcPr>
            <w:tcW w:w="1843" w:type="dxa"/>
            <w:tcBorders>
              <w:top w:val="single" w:sz="4" w:space="0" w:color="000000"/>
              <w:left w:val="single" w:sz="4" w:space="0" w:color="000000"/>
              <w:bottom w:val="single" w:sz="4" w:space="0" w:color="000000"/>
            </w:tcBorders>
          </w:tcPr>
          <w:p>
            <w:pPr>
              <w:tabs>
                <w:tab w:val="left" w:pos="828"/>
                <w:tab w:val="left" w:pos="7064"/>
              </w:tabs>
              <w:snapToGrid w:val="0"/>
              <w:jc w:val="both"/>
              <w:rPr>
                <w:rFonts w:ascii="Book Antiqua" w:hAnsi="Book Antiqua" w:cs="Book Antiqua"/>
                <w:b/>
                <w:color w:val="000000"/>
                <w:spacing w:val="-2"/>
              </w:rPr>
            </w:pPr>
            <w:r>
              <w:rPr>
                <w:rFonts w:ascii="Book Antiqua" w:hAnsi="Book Antiqua" w:cs="Book Antiqua"/>
                <w:b/>
                <w:color w:val="000000"/>
                <w:spacing w:val="-2"/>
              </w:rPr>
              <w:t>2</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degré Prof.</w:t>
            </w:r>
          </w:p>
        </w:tc>
        <w:tc>
          <w:tcPr>
            <w:tcW w:w="1275"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25</w:t>
            </w:r>
          </w:p>
          <w:p>
            <w:pPr>
              <w:tabs>
                <w:tab w:val="left" w:pos="828"/>
                <w:tab w:val="left" w:pos="7064"/>
              </w:tabs>
              <w:jc w:val="center"/>
              <w:rPr>
                <w:rFonts w:ascii="Book Antiqua" w:hAnsi="Book Antiqua" w:cs="Book Antiqua"/>
                <w:color w:val="000000"/>
                <w:spacing w:val="-2"/>
              </w:rPr>
            </w:pPr>
          </w:p>
        </w:tc>
        <w:tc>
          <w:tcPr>
            <w:tcW w:w="2410"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c>
          <w:tcPr>
            <w:tcW w:w="1418"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15</w:t>
            </w:r>
          </w:p>
          <w:p>
            <w:pPr>
              <w:tabs>
                <w:tab w:val="left" w:pos="828"/>
                <w:tab w:val="left" w:pos="7064"/>
              </w:tabs>
              <w:jc w:val="center"/>
              <w:rPr>
                <w:rFonts w:ascii="Book Antiqua" w:hAnsi="Book Antiqua" w:cs="Book Antiqua"/>
                <w:color w:val="000000"/>
                <w:spacing w:val="-2"/>
              </w:rPr>
            </w:pPr>
          </w:p>
        </w:tc>
        <w:tc>
          <w:tcPr>
            <w:tcW w:w="2278" w:type="dxa"/>
            <w:tcBorders>
              <w:top w:val="single" w:sz="4" w:space="0" w:color="000000"/>
              <w:left w:val="single" w:sz="4" w:space="0" w:color="000000"/>
              <w:bottom w:val="single" w:sz="4" w:space="0" w:color="000000"/>
              <w:right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25</w:t>
            </w:r>
          </w:p>
          <w:p>
            <w:pPr>
              <w:tabs>
                <w:tab w:val="left" w:pos="828"/>
                <w:tab w:val="left" w:pos="7064"/>
              </w:tabs>
              <w:jc w:val="center"/>
              <w:rPr>
                <w:rFonts w:ascii="Book Antiqua" w:hAnsi="Book Antiqua" w:cs="Book Antiqua"/>
                <w:color w:val="000000"/>
                <w:spacing w:val="-2"/>
              </w:rPr>
            </w:pPr>
          </w:p>
        </w:tc>
      </w:tr>
      <w:tr>
        <w:tc>
          <w:tcPr>
            <w:tcW w:w="1843" w:type="dxa"/>
            <w:tcBorders>
              <w:top w:val="single" w:sz="4" w:space="0" w:color="000000"/>
              <w:left w:val="single" w:sz="4" w:space="0" w:color="000000"/>
              <w:bottom w:val="single" w:sz="4" w:space="0" w:color="000000"/>
            </w:tcBorders>
          </w:tcPr>
          <w:p>
            <w:pPr>
              <w:tabs>
                <w:tab w:val="left" w:pos="828"/>
                <w:tab w:val="left" w:pos="7064"/>
              </w:tabs>
              <w:snapToGrid w:val="0"/>
              <w:jc w:val="both"/>
              <w:rPr>
                <w:rFonts w:ascii="Book Antiqua" w:hAnsi="Book Antiqua" w:cs="Book Antiqua"/>
                <w:b/>
                <w:color w:val="000000"/>
                <w:spacing w:val="-2"/>
              </w:rPr>
            </w:pPr>
            <w:r>
              <w:rPr>
                <w:rFonts w:ascii="Book Antiqua" w:hAnsi="Book Antiqua" w:cs="Book Antiqua"/>
                <w:b/>
                <w:color w:val="000000"/>
                <w:spacing w:val="-2"/>
              </w:rPr>
              <w:t>3</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degré </w:t>
            </w:r>
            <w:proofErr w:type="spellStart"/>
            <w:r>
              <w:rPr>
                <w:rFonts w:ascii="Book Antiqua" w:hAnsi="Book Antiqua" w:cs="Book Antiqua"/>
                <w:b/>
                <w:color w:val="000000"/>
                <w:spacing w:val="-2"/>
              </w:rPr>
              <w:t>TQual</w:t>
            </w:r>
            <w:proofErr w:type="spellEnd"/>
          </w:p>
        </w:tc>
        <w:tc>
          <w:tcPr>
            <w:tcW w:w="1275"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c>
          <w:tcPr>
            <w:tcW w:w="2410"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15</w:t>
            </w:r>
          </w:p>
          <w:p>
            <w:pPr>
              <w:tabs>
                <w:tab w:val="left" w:pos="828"/>
                <w:tab w:val="left" w:pos="7064"/>
              </w:tabs>
              <w:jc w:val="center"/>
              <w:rPr>
                <w:rFonts w:ascii="Book Antiqua" w:hAnsi="Book Antiqua" w:cs="Book Antiqua"/>
                <w:color w:val="000000"/>
                <w:spacing w:val="-2"/>
              </w:rPr>
            </w:pPr>
          </w:p>
        </w:tc>
        <w:tc>
          <w:tcPr>
            <w:tcW w:w="1418"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12</w:t>
            </w:r>
          </w:p>
          <w:p>
            <w:pPr>
              <w:tabs>
                <w:tab w:val="left" w:pos="828"/>
                <w:tab w:val="left" w:pos="7064"/>
              </w:tabs>
              <w:jc w:val="center"/>
              <w:rPr>
                <w:rFonts w:ascii="Book Antiqua" w:hAnsi="Book Antiqua" w:cs="Book Antiqua"/>
                <w:color w:val="000000"/>
                <w:spacing w:val="-2"/>
              </w:rPr>
            </w:pPr>
          </w:p>
        </w:tc>
        <w:tc>
          <w:tcPr>
            <w:tcW w:w="2278" w:type="dxa"/>
            <w:tcBorders>
              <w:top w:val="single" w:sz="4" w:space="0" w:color="000000"/>
              <w:left w:val="single" w:sz="4" w:space="0" w:color="000000"/>
              <w:bottom w:val="single" w:sz="4" w:space="0" w:color="000000"/>
              <w:right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r>
      <w:tr>
        <w:tc>
          <w:tcPr>
            <w:tcW w:w="1843" w:type="dxa"/>
            <w:tcBorders>
              <w:top w:val="single" w:sz="4" w:space="0" w:color="000000"/>
              <w:left w:val="single" w:sz="4" w:space="0" w:color="000000"/>
              <w:bottom w:val="single" w:sz="4" w:space="0" w:color="000000"/>
            </w:tcBorders>
          </w:tcPr>
          <w:p>
            <w:pPr>
              <w:tabs>
                <w:tab w:val="left" w:pos="828"/>
                <w:tab w:val="left" w:pos="7064"/>
              </w:tabs>
              <w:snapToGrid w:val="0"/>
              <w:jc w:val="both"/>
              <w:rPr>
                <w:rFonts w:ascii="Book Antiqua" w:hAnsi="Book Antiqua" w:cs="Book Antiqua"/>
                <w:b/>
                <w:color w:val="000000"/>
                <w:spacing w:val="-2"/>
              </w:rPr>
            </w:pPr>
            <w:r>
              <w:rPr>
                <w:rFonts w:ascii="Book Antiqua" w:hAnsi="Book Antiqua" w:cs="Book Antiqua"/>
                <w:b/>
                <w:color w:val="000000"/>
                <w:spacing w:val="-2"/>
              </w:rPr>
              <w:t>3</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degré P</w:t>
            </w:r>
          </w:p>
        </w:tc>
        <w:tc>
          <w:tcPr>
            <w:tcW w:w="1275"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c>
          <w:tcPr>
            <w:tcW w:w="2410"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15</w:t>
            </w:r>
          </w:p>
          <w:p>
            <w:pPr>
              <w:tabs>
                <w:tab w:val="left" w:pos="828"/>
                <w:tab w:val="left" w:pos="7064"/>
              </w:tabs>
              <w:jc w:val="center"/>
              <w:rPr>
                <w:rFonts w:ascii="Book Antiqua" w:hAnsi="Book Antiqua" w:cs="Book Antiqua"/>
                <w:color w:val="000000"/>
                <w:spacing w:val="-2"/>
              </w:rPr>
            </w:pPr>
          </w:p>
        </w:tc>
        <w:tc>
          <w:tcPr>
            <w:tcW w:w="1418"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 xml:space="preserve">12 </w:t>
            </w:r>
          </w:p>
          <w:p>
            <w:pPr>
              <w:tabs>
                <w:tab w:val="left" w:pos="828"/>
                <w:tab w:val="left" w:pos="7064"/>
              </w:tabs>
              <w:jc w:val="center"/>
              <w:rPr>
                <w:rFonts w:ascii="Book Antiqua" w:hAnsi="Book Antiqua" w:cs="Book Antiqua"/>
                <w:color w:val="000000"/>
                <w:spacing w:val="-2"/>
              </w:rPr>
            </w:pPr>
          </w:p>
        </w:tc>
        <w:tc>
          <w:tcPr>
            <w:tcW w:w="2278" w:type="dxa"/>
            <w:tcBorders>
              <w:top w:val="single" w:sz="4" w:space="0" w:color="000000"/>
              <w:left w:val="single" w:sz="4" w:space="0" w:color="000000"/>
              <w:bottom w:val="single" w:sz="4" w:space="0" w:color="000000"/>
              <w:right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r>
    </w:tbl>
    <w:p>
      <w:pPr>
        <w:pStyle w:val="Corpsdetexte"/>
        <w:ind w:left="993"/>
        <w:rPr>
          <w:rFonts w:ascii="Book Antiqua" w:hAnsi="Book Antiqua" w:cs="Book Antiqua"/>
          <w:color w:val="000000"/>
          <w:spacing w:val="-2"/>
          <w:sz w:val="20"/>
        </w:rPr>
      </w:pPr>
      <w:r>
        <w:rPr>
          <w:rFonts w:ascii="Book Antiqua" w:hAnsi="Book Antiqua" w:cs="Book Antiqua"/>
          <w:color w:val="000000"/>
          <w:spacing w:val="-2"/>
          <w:sz w:val="20"/>
        </w:rPr>
        <w:t xml:space="preserve">(1) Les distances de 8,12 et 20 km indiquent l’éloignement par rapport à l’établissement de même caractère le plus proche organisant le même degré dans la même forme d’enseignement. </w:t>
      </w:r>
    </w:p>
    <w:p>
      <w:pPr>
        <w:ind w:left="1418"/>
        <w:jc w:val="both"/>
        <w:rPr>
          <w:rFonts w:ascii="Book Antiqua" w:hAnsi="Book Antiqua" w:cs="Book Antiqua"/>
          <w:color w:val="000000"/>
          <w:spacing w:val="-2"/>
        </w:rPr>
      </w:pPr>
      <w:r>
        <w:rPr>
          <w:rFonts w:ascii="Book Antiqua" w:hAnsi="Book Antiqua" w:cs="Book Antiqua"/>
          <w:color w:val="000000"/>
          <w:spacing w:val="-2"/>
        </w:rPr>
        <w:t>R = rural : moins de 125 habitants au km</w:t>
      </w:r>
      <w:r>
        <w:rPr>
          <w:rFonts w:ascii="Book Antiqua" w:hAnsi="Book Antiqua" w:cs="Book Antiqua"/>
          <w:color w:val="000000"/>
          <w:spacing w:val="-2"/>
          <w:vertAlign w:val="superscript"/>
        </w:rPr>
        <w:t>2</w:t>
      </w:r>
      <w:r>
        <w:rPr>
          <w:rFonts w:ascii="Book Antiqua" w:hAnsi="Book Antiqua" w:cs="Book Antiqua"/>
          <w:color w:val="000000"/>
          <w:spacing w:val="-2"/>
        </w:rPr>
        <w:t> ;</w:t>
      </w:r>
    </w:p>
    <w:p>
      <w:pPr>
        <w:ind w:left="1418"/>
        <w:jc w:val="both"/>
        <w:rPr>
          <w:rFonts w:ascii="Book Antiqua" w:hAnsi="Book Antiqua" w:cs="Book Antiqua"/>
          <w:color w:val="000000"/>
          <w:spacing w:val="-2"/>
        </w:rPr>
      </w:pPr>
      <w:r>
        <w:rPr>
          <w:rFonts w:ascii="Book Antiqua" w:hAnsi="Book Antiqua" w:cs="Book Antiqua"/>
          <w:color w:val="000000"/>
          <w:spacing w:val="-2"/>
        </w:rPr>
        <w:t>S = semi-rural : moins de 250 habitants au km</w:t>
      </w:r>
      <w:r>
        <w:rPr>
          <w:rFonts w:ascii="Book Antiqua" w:hAnsi="Book Antiqua" w:cs="Book Antiqua"/>
          <w:color w:val="000000"/>
          <w:spacing w:val="-2"/>
          <w:vertAlign w:val="superscript"/>
        </w:rPr>
        <w:t>2</w:t>
      </w:r>
      <w:r>
        <w:rPr>
          <w:rFonts w:ascii="Book Antiqua" w:hAnsi="Book Antiqua" w:cs="Book Antiqua"/>
          <w:color w:val="000000"/>
          <w:spacing w:val="-2"/>
        </w:rPr>
        <w:t> ;</w:t>
      </w:r>
    </w:p>
    <w:p>
      <w:pPr>
        <w:tabs>
          <w:tab w:val="left" w:pos="828"/>
          <w:tab w:val="left" w:pos="7064"/>
        </w:tabs>
        <w:spacing w:after="240"/>
        <w:ind w:left="1418"/>
        <w:jc w:val="both"/>
        <w:rPr>
          <w:rFonts w:ascii="Book Antiqua" w:hAnsi="Book Antiqua" w:cs="Book Antiqua"/>
          <w:color w:val="000000"/>
          <w:spacing w:val="-2"/>
        </w:rPr>
      </w:pPr>
      <w:r>
        <w:rPr>
          <w:rFonts w:ascii="Book Antiqua" w:hAnsi="Book Antiqua" w:cs="Book Antiqua"/>
          <w:color w:val="000000"/>
          <w:spacing w:val="-2"/>
        </w:rPr>
        <w:t>N = ordinaire : au moins 250 habitants au km</w:t>
      </w:r>
      <w:r>
        <w:rPr>
          <w:rFonts w:ascii="Book Antiqua" w:hAnsi="Book Antiqua" w:cs="Book Antiqua"/>
          <w:color w:val="000000"/>
          <w:spacing w:val="-2"/>
          <w:vertAlign w:val="superscript"/>
        </w:rPr>
        <w:t>2</w:t>
      </w:r>
      <w:r>
        <w:rPr>
          <w:rFonts w:ascii="Book Antiqua" w:hAnsi="Book Antiqua" w:cs="Book Antiqua"/>
          <w:color w:val="000000"/>
          <w:spacing w:val="-2"/>
        </w:rPr>
        <w:t>.</w:t>
      </w:r>
    </w:p>
    <w:p>
      <w:pPr>
        <w:pStyle w:val="niveau3"/>
        <w:ind w:left="709"/>
      </w:pPr>
      <w:bookmarkStart w:id="101" w:name="_Toc522700817"/>
      <w:r>
        <w:t xml:space="preserve">II. </w:t>
      </w:r>
      <w:r>
        <w:rPr>
          <w:u w:val="single"/>
        </w:rPr>
        <w:t>Normes de maintien par option</w:t>
      </w:r>
      <w:bookmarkEnd w:id="101"/>
    </w:p>
    <w:p>
      <w:pPr>
        <w:pStyle w:val="Corpsdetexte"/>
        <w:tabs>
          <w:tab w:val="left" w:pos="7064"/>
        </w:tabs>
        <w:ind w:left="284"/>
        <w:rPr>
          <w:rFonts w:ascii="Book Antiqua" w:hAnsi="Book Antiqua" w:cs="Book Antiqua"/>
          <w:color w:val="000000"/>
          <w:spacing w:val="-2"/>
          <w:sz w:val="20"/>
          <w:szCs w:val="20"/>
        </w:rPr>
      </w:pPr>
      <w:r>
        <w:rPr>
          <w:rFonts w:ascii="Book Antiqua" w:hAnsi="Book Antiqua" w:cs="Book Antiqua"/>
          <w:color w:val="000000"/>
          <w:spacing w:val="-2"/>
          <w:sz w:val="20"/>
          <w:szCs w:val="20"/>
        </w:rPr>
        <w:t>Le tableau repris ci-après détermine les nombres d'élèves à atteindre au 15 janvier lorsque seule l’alternance est organisée.</w:t>
      </w:r>
      <w:r>
        <w:rPr>
          <w:rStyle w:val="Caractresdenotedebasdepage"/>
          <w:rFonts w:ascii="Book Antiqua" w:hAnsi="Book Antiqua" w:cs="Book Antiqua"/>
          <w:color w:val="000000"/>
          <w:spacing w:val="-2"/>
          <w:sz w:val="20"/>
          <w:szCs w:val="20"/>
        </w:rPr>
        <w:footnoteReference w:id="199"/>
      </w:r>
      <w:r>
        <w:rPr>
          <w:rFonts w:ascii="Book Antiqua" w:hAnsi="Book Antiqua" w:cs="Book Antiqua"/>
          <w:color w:val="000000"/>
          <w:spacing w:val="-2"/>
          <w:sz w:val="20"/>
          <w:szCs w:val="20"/>
        </w:rPr>
        <w:t xml:space="preserve">  Lorsque l’option est organisée à la fois en alternance ET en plein exercice, </w:t>
      </w:r>
      <w:proofErr w:type="spellStart"/>
      <w:r>
        <w:rPr>
          <w:rFonts w:ascii="Book Antiqua" w:hAnsi="Book Antiqua" w:cs="Book Antiqua"/>
          <w:color w:val="000000"/>
          <w:spacing w:val="-2"/>
          <w:sz w:val="20"/>
          <w:szCs w:val="20"/>
        </w:rPr>
        <w:t>veuillez vous</w:t>
      </w:r>
      <w:proofErr w:type="spellEnd"/>
      <w:r>
        <w:rPr>
          <w:rFonts w:ascii="Book Antiqua" w:hAnsi="Book Antiqua" w:cs="Book Antiqua"/>
          <w:color w:val="000000"/>
          <w:spacing w:val="-2"/>
          <w:sz w:val="20"/>
          <w:szCs w:val="20"/>
        </w:rPr>
        <w:t xml:space="preserve"> référer aux normes de maintien mentionnées dans la circulaire 6741 du 4 juillet 2018 relative aux directives pour l’année scolaire 2018-2019 / Organisation, structures et encadrement.</w:t>
      </w:r>
    </w:p>
    <w:p>
      <w:pPr>
        <w:tabs>
          <w:tab w:val="left" w:pos="567"/>
          <w:tab w:val="left" w:pos="7370"/>
        </w:tabs>
        <w:ind w:left="2269" w:right="-774" w:hanging="1560"/>
        <w:jc w:val="both"/>
        <w:rPr>
          <w:rFonts w:ascii="Book Antiqua" w:hAnsi="Book Antiqua" w:cs="Book Antiqua"/>
          <w:color w:val="000000"/>
          <w:spacing w:val="-2"/>
        </w:rPr>
      </w:pPr>
    </w:p>
    <w:tbl>
      <w:tblPr>
        <w:tblW w:w="5472" w:type="dxa"/>
        <w:tblInd w:w="2178" w:type="dxa"/>
        <w:tblLayout w:type="fixed"/>
        <w:tblCellMar>
          <w:left w:w="70" w:type="dxa"/>
          <w:right w:w="70" w:type="dxa"/>
        </w:tblCellMar>
        <w:tblLook w:val="0000" w:firstRow="0" w:lastRow="0" w:firstColumn="0" w:lastColumn="0" w:noHBand="0" w:noVBand="0"/>
      </w:tblPr>
      <w:tblGrid>
        <w:gridCol w:w="3204"/>
        <w:gridCol w:w="2268"/>
      </w:tblGrid>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rPr>
                <w:rFonts w:ascii="Book Antiqua" w:hAnsi="Book Antiqua" w:cs="Book Antiqua"/>
                <w:b/>
                <w:color w:val="000000"/>
                <w:spacing w:val="-2"/>
                <w:sz w:val="18"/>
                <w:szCs w:val="18"/>
              </w:rPr>
            </w:pPr>
            <w:r>
              <w:rPr>
                <w:rFonts w:ascii="Book Antiqua" w:hAnsi="Book Antiqua" w:cs="Book Antiqua"/>
                <w:b/>
                <w:color w:val="000000"/>
                <w:spacing w:val="-2"/>
                <w:sz w:val="18"/>
                <w:szCs w:val="18"/>
              </w:rPr>
              <w:t>Niveaux /Formes/</w:t>
            </w:r>
          </w:p>
          <w:p>
            <w:pPr>
              <w:tabs>
                <w:tab w:val="left" w:pos="567"/>
                <w:tab w:val="left" w:pos="7370"/>
              </w:tabs>
              <w:ind w:right="-774"/>
              <w:rPr>
                <w:rFonts w:ascii="Book Antiqua" w:hAnsi="Book Antiqua" w:cs="Book Antiqua"/>
                <w:b/>
                <w:color w:val="000000"/>
                <w:spacing w:val="-2"/>
                <w:sz w:val="18"/>
                <w:szCs w:val="18"/>
              </w:rPr>
            </w:pPr>
            <w:r>
              <w:rPr>
                <w:rFonts w:ascii="Book Antiqua" w:hAnsi="Book Antiqua" w:cs="Book Antiqua"/>
                <w:b/>
                <w:color w:val="000000"/>
                <w:spacing w:val="-2"/>
                <w:sz w:val="18"/>
                <w:szCs w:val="18"/>
              </w:rPr>
              <w:t>Filières</w:t>
            </w:r>
          </w:p>
        </w:tc>
        <w:tc>
          <w:tcPr>
            <w:tcW w:w="2268"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b/>
                <w:color w:val="000000"/>
                <w:spacing w:val="-2"/>
                <w:sz w:val="18"/>
                <w:szCs w:val="18"/>
              </w:rPr>
            </w:pPr>
            <w:r>
              <w:rPr>
                <w:rFonts w:ascii="Book Antiqua" w:hAnsi="Book Antiqua" w:cs="Book Antiqua"/>
                <w:b/>
                <w:color w:val="000000"/>
                <w:spacing w:val="-2"/>
                <w:sz w:val="18"/>
                <w:szCs w:val="18"/>
              </w:rPr>
              <w:t>Alternance (seule)</w:t>
            </w:r>
          </w:p>
        </w:tc>
      </w:tr>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Une option au D2 P</w:t>
            </w:r>
          </w:p>
        </w:tc>
        <w:tc>
          <w:tcPr>
            <w:tcW w:w="2268" w:type="dxa"/>
            <w:tcBorders>
              <w:top w:val="single" w:sz="4" w:space="0" w:color="000000"/>
              <w:left w:val="single" w:sz="4" w:space="0" w:color="000000"/>
              <w:bottom w:val="single" w:sz="4" w:space="0" w:color="000000"/>
              <w:right w:val="single" w:sz="4" w:space="0" w:color="000000"/>
            </w:tcBorders>
          </w:tcPr>
          <w:p>
            <w:pPr>
              <w:tabs>
                <w:tab w:val="left" w:pos="-353"/>
                <w:tab w:val="left" w:pos="7370"/>
              </w:tabs>
              <w:snapToGrid w:val="0"/>
              <w:ind w:left="-353" w:right="-774"/>
              <w:jc w:val="center"/>
              <w:rPr>
                <w:rFonts w:ascii="Book Antiqua" w:hAnsi="Book Antiqua" w:cs="Book Antiqua"/>
                <w:color w:val="000000"/>
                <w:spacing w:val="-2"/>
                <w:sz w:val="18"/>
                <w:szCs w:val="18"/>
              </w:rPr>
            </w:pPr>
            <w:r>
              <w:rPr>
                <w:rFonts w:ascii="Book Antiqua" w:hAnsi="Book Antiqua" w:cs="Book Antiqua"/>
                <w:color w:val="000000"/>
                <w:spacing w:val="-2"/>
                <w:sz w:val="18"/>
                <w:szCs w:val="18"/>
              </w:rPr>
              <w:t>12 sur le degré</w:t>
            </w:r>
          </w:p>
        </w:tc>
      </w:tr>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Une option au D3 TQ</w:t>
            </w:r>
          </w:p>
        </w:tc>
        <w:tc>
          <w:tcPr>
            <w:tcW w:w="2268"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sz w:val="18"/>
                <w:szCs w:val="18"/>
                <w:vertAlign w:val="superscript"/>
              </w:rPr>
            </w:pPr>
            <w:r>
              <w:rPr>
                <w:rFonts w:ascii="Book Antiqua" w:hAnsi="Book Antiqua" w:cs="Book Antiqua"/>
                <w:color w:val="000000"/>
                <w:spacing w:val="-2"/>
                <w:sz w:val="18"/>
                <w:szCs w:val="18"/>
              </w:rPr>
              <w:t>4 en 5</w:t>
            </w:r>
            <w:r>
              <w:rPr>
                <w:rFonts w:ascii="Book Antiqua" w:hAnsi="Book Antiqua" w:cs="Book Antiqua"/>
                <w:color w:val="000000"/>
                <w:spacing w:val="-2"/>
                <w:sz w:val="18"/>
                <w:szCs w:val="18"/>
                <w:vertAlign w:val="superscript"/>
              </w:rPr>
              <w:t>ème</w:t>
            </w:r>
          </w:p>
        </w:tc>
      </w:tr>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Une option au D3 P</w:t>
            </w:r>
          </w:p>
        </w:tc>
        <w:tc>
          <w:tcPr>
            <w:tcW w:w="2268"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sz w:val="18"/>
                <w:szCs w:val="18"/>
                <w:vertAlign w:val="superscript"/>
              </w:rPr>
            </w:pPr>
            <w:r>
              <w:rPr>
                <w:rFonts w:ascii="Book Antiqua" w:hAnsi="Book Antiqua" w:cs="Book Antiqua"/>
                <w:color w:val="000000"/>
                <w:spacing w:val="-2"/>
                <w:sz w:val="18"/>
                <w:szCs w:val="18"/>
              </w:rPr>
              <w:t>4 en 5</w:t>
            </w:r>
            <w:r>
              <w:rPr>
                <w:rFonts w:ascii="Book Antiqua" w:hAnsi="Book Antiqua" w:cs="Book Antiqua"/>
                <w:color w:val="000000"/>
                <w:spacing w:val="-2"/>
                <w:sz w:val="18"/>
                <w:szCs w:val="18"/>
                <w:vertAlign w:val="superscript"/>
              </w:rPr>
              <w:t>ème</w:t>
            </w:r>
          </w:p>
        </w:tc>
      </w:tr>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Une option en 7</w:t>
            </w:r>
            <w:r>
              <w:rPr>
                <w:rFonts w:ascii="Book Antiqua" w:hAnsi="Book Antiqua" w:cs="Book Antiqua"/>
                <w:bCs/>
                <w:color w:val="000000"/>
                <w:spacing w:val="-2"/>
                <w:sz w:val="18"/>
                <w:szCs w:val="18"/>
                <w:vertAlign w:val="superscript"/>
              </w:rPr>
              <w:t>ème</w:t>
            </w:r>
            <w:r>
              <w:rPr>
                <w:rFonts w:ascii="Book Antiqua" w:hAnsi="Book Antiqua" w:cs="Book Antiqua"/>
                <w:bCs/>
                <w:color w:val="000000"/>
                <w:spacing w:val="-2"/>
                <w:sz w:val="18"/>
                <w:szCs w:val="18"/>
              </w:rPr>
              <w:t xml:space="preserve"> TQ</w:t>
            </w:r>
          </w:p>
        </w:tc>
        <w:tc>
          <w:tcPr>
            <w:tcW w:w="2268"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sz w:val="18"/>
                <w:szCs w:val="18"/>
              </w:rPr>
            </w:pPr>
            <w:r>
              <w:rPr>
                <w:rFonts w:ascii="Book Antiqua" w:hAnsi="Book Antiqua" w:cs="Book Antiqua"/>
                <w:color w:val="000000"/>
                <w:spacing w:val="-2"/>
                <w:sz w:val="18"/>
                <w:szCs w:val="18"/>
              </w:rPr>
              <w:t>4</w:t>
            </w:r>
          </w:p>
        </w:tc>
      </w:tr>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Si regroupement de 1/3</w:t>
            </w:r>
          </w:p>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 xml:space="preserve"> au moins de l’horaire</w:t>
            </w:r>
            <w:r>
              <w:rPr>
                <w:rStyle w:val="Appelnotedebasdep"/>
                <w:rFonts w:ascii="Book Antiqua" w:hAnsi="Book Antiqua" w:cs="Book Antiqua"/>
                <w:bCs/>
                <w:color w:val="000000"/>
                <w:spacing w:val="-2"/>
                <w:sz w:val="18"/>
                <w:szCs w:val="18"/>
              </w:rPr>
              <w:footnoteReference w:id="200"/>
            </w:r>
          </w:p>
        </w:tc>
        <w:tc>
          <w:tcPr>
            <w:tcW w:w="2268"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sz w:val="18"/>
                <w:szCs w:val="18"/>
              </w:rPr>
            </w:pPr>
            <w:r>
              <w:rPr>
                <w:rFonts w:ascii="Book Antiqua" w:hAnsi="Book Antiqua" w:cs="Book Antiqua"/>
                <w:color w:val="000000"/>
                <w:spacing w:val="-2"/>
                <w:sz w:val="18"/>
                <w:szCs w:val="18"/>
              </w:rPr>
              <w:t>3</w:t>
            </w:r>
          </w:p>
        </w:tc>
      </w:tr>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Si regroupement complet</w:t>
            </w:r>
          </w:p>
        </w:tc>
        <w:tc>
          <w:tcPr>
            <w:tcW w:w="2268"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sz w:val="18"/>
                <w:szCs w:val="18"/>
              </w:rPr>
            </w:pPr>
            <w:r>
              <w:rPr>
                <w:rFonts w:ascii="Book Antiqua" w:hAnsi="Book Antiqua" w:cs="Book Antiqua"/>
                <w:color w:val="000000"/>
                <w:spacing w:val="-2"/>
                <w:sz w:val="18"/>
                <w:szCs w:val="18"/>
              </w:rPr>
              <w:t>1</w:t>
            </w:r>
          </w:p>
        </w:tc>
      </w:tr>
    </w:tbl>
    <w:p>
      <w:r>
        <w:br w:type="page"/>
      </w:r>
    </w:p>
    <w:tbl>
      <w:tblPr>
        <w:tblW w:w="5472" w:type="dxa"/>
        <w:tblInd w:w="2178" w:type="dxa"/>
        <w:tblLayout w:type="fixed"/>
        <w:tblCellMar>
          <w:left w:w="70" w:type="dxa"/>
          <w:right w:w="70" w:type="dxa"/>
        </w:tblCellMar>
        <w:tblLook w:val="0000" w:firstRow="0" w:lastRow="0" w:firstColumn="0" w:lastColumn="0" w:noHBand="0" w:noVBand="0"/>
      </w:tblPr>
      <w:tblGrid>
        <w:gridCol w:w="3204"/>
        <w:gridCol w:w="2268"/>
      </w:tblGrid>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lastRenderedPageBreak/>
              <w:t>Option(s) en 7</w:t>
            </w:r>
            <w:r>
              <w:rPr>
                <w:rFonts w:ascii="Book Antiqua" w:hAnsi="Book Antiqua" w:cs="Book Antiqua"/>
                <w:bCs/>
                <w:color w:val="000000"/>
                <w:spacing w:val="-2"/>
                <w:sz w:val="18"/>
                <w:szCs w:val="18"/>
                <w:vertAlign w:val="superscript"/>
              </w:rPr>
              <w:t>ème</w:t>
            </w:r>
            <w:r>
              <w:rPr>
                <w:rFonts w:ascii="Book Antiqua" w:hAnsi="Book Antiqua" w:cs="Book Antiqua"/>
                <w:bCs/>
                <w:color w:val="000000"/>
                <w:spacing w:val="-2"/>
                <w:sz w:val="18"/>
                <w:szCs w:val="18"/>
              </w:rPr>
              <w:t xml:space="preserve"> P</w:t>
            </w:r>
          </w:p>
        </w:tc>
        <w:tc>
          <w:tcPr>
            <w:tcW w:w="2268"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sz w:val="18"/>
                <w:szCs w:val="18"/>
                <w:vertAlign w:val="superscript"/>
              </w:rPr>
            </w:pPr>
            <w:r>
              <w:rPr>
                <w:rFonts w:ascii="Book Antiqua" w:hAnsi="Book Antiqua" w:cs="Book Antiqua"/>
                <w:color w:val="000000"/>
                <w:spacing w:val="-2"/>
                <w:sz w:val="18"/>
                <w:szCs w:val="18"/>
              </w:rPr>
              <w:t>4</w:t>
            </w:r>
            <w:r>
              <w:rPr>
                <w:rFonts w:ascii="Book Antiqua" w:hAnsi="Book Antiqua" w:cs="Book Antiqua"/>
                <w:color w:val="000000"/>
                <w:spacing w:val="-2"/>
                <w:sz w:val="18"/>
                <w:szCs w:val="18"/>
                <w:vertAlign w:val="superscript"/>
              </w:rPr>
              <w:t>*</w:t>
            </w:r>
          </w:p>
        </w:tc>
      </w:tr>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Si regroupement de 1/3</w:t>
            </w:r>
          </w:p>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 xml:space="preserve"> au moins de l’horaire</w:t>
            </w:r>
          </w:p>
        </w:tc>
        <w:tc>
          <w:tcPr>
            <w:tcW w:w="2268"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sz w:val="18"/>
                <w:szCs w:val="18"/>
              </w:rPr>
            </w:pPr>
            <w:r>
              <w:rPr>
                <w:rFonts w:ascii="Book Antiqua" w:hAnsi="Book Antiqua" w:cs="Book Antiqua"/>
                <w:color w:val="000000"/>
                <w:spacing w:val="-2"/>
                <w:sz w:val="18"/>
                <w:szCs w:val="18"/>
              </w:rPr>
              <w:t>3</w:t>
            </w:r>
          </w:p>
        </w:tc>
      </w:tr>
      <w:tr>
        <w:tc>
          <w:tcPr>
            <w:tcW w:w="3204"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sz w:val="18"/>
                <w:szCs w:val="18"/>
              </w:rPr>
            </w:pPr>
            <w:r>
              <w:rPr>
                <w:rFonts w:ascii="Book Antiqua" w:hAnsi="Book Antiqua" w:cs="Book Antiqua"/>
                <w:bCs/>
                <w:color w:val="000000"/>
                <w:spacing w:val="-2"/>
                <w:sz w:val="18"/>
                <w:szCs w:val="18"/>
              </w:rPr>
              <w:t>Si regroupement complet</w:t>
            </w:r>
          </w:p>
        </w:tc>
        <w:tc>
          <w:tcPr>
            <w:tcW w:w="2268"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sz w:val="18"/>
                <w:szCs w:val="18"/>
              </w:rPr>
            </w:pPr>
            <w:r>
              <w:rPr>
                <w:rFonts w:ascii="Book Antiqua" w:hAnsi="Book Antiqua" w:cs="Book Antiqua"/>
                <w:color w:val="000000"/>
                <w:spacing w:val="-2"/>
                <w:sz w:val="18"/>
                <w:szCs w:val="18"/>
              </w:rPr>
              <w:t>1</w:t>
            </w:r>
          </w:p>
        </w:tc>
      </w:tr>
      <w:tr>
        <w:trPr>
          <w:cantSplit/>
        </w:trPr>
        <w:tc>
          <w:tcPr>
            <w:tcW w:w="5472" w:type="dxa"/>
            <w:gridSpan w:val="2"/>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both"/>
              <w:rPr>
                <w:rFonts w:ascii="Book Antiqua" w:hAnsi="Book Antiqua" w:cs="Book Antiqua"/>
                <w:color w:val="000000"/>
                <w:spacing w:val="-2"/>
                <w:sz w:val="18"/>
                <w:szCs w:val="18"/>
              </w:rPr>
            </w:pPr>
            <w:r>
              <w:rPr>
                <w:rFonts w:ascii="Book Antiqua" w:hAnsi="Book Antiqua" w:cs="Book Antiqua"/>
                <w:color w:val="000000"/>
                <w:spacing w:val="-2"/>
                <w:sz w:val="18"/>
                <w:szCs w:val="18"/>
                <w:vertAlign w:val="superscript"/>
              </w:rPr>
              <w:t>*</w:t>
            </w:r>
            <w:r>
              <w:rPr>
                <w:rFonts w:ascii="Book Antiqua" w:hAnsi="Book Antiqua" w:cs="Book Antiqua"/>
                <w:color w:val="000000"/>
                <w:spacing w:val="-2"/>
                <w:sz w:val="18"/>
                <w:szCs w:val="18"/>
              </w:rPr>
              <w:t xml:space="preserve"> = pour l’ensemble des options organisées en 7</w:t>
            </w:r>
            <w:r>
              <w:rPr>
                <w:rFonts w:ascii="Book Antiqua" w:hAnsi="Book Antiqua" w:cs="Book Antiqua"/>
                <w:color w:val="000000"/>
                <w:spacing w:val="-2"/>
                <w:sz w:val="18"/>
                <w:szCs w:val="18"/>
                <w:vertAlign w:val="superscript"/>
              </w:rPr>
              <w:t>ème</w:t>
            </w:r>
            <w:r>
              <w:rPr>
                <w:rFonts w:ascii="Book Antiqua" w:hAnsi="Book Antiqua" w:cs="Book Antiqua"/>
                <w:color w:val="000000"/>
                <w:spacing w:val="-2"/>
                <w:sz w:val="18"/>
                <w:szCs w:val="18"/>
              </w:rPr>
              <w:t xml:space="preserve"> P</w:t>
            </w:r>
          </w:p>
        </w:tc>
      </w:tr>
    </w:tbl>
    <w:p>
      <w:pPr>
        <w:tabs>
          <w:tab w:val="left" w:pos="1315"/>
          <w:tab w:val="left" w:pos="1594"/>
          <w:tab w:val="left" w:pos="1752"/>
          <w:tab w:val="left" w:pos="1922"/>
          <w:tab w:val="left" w:pos="5335"/>
        </w:tabs>
        <w:spacing w:after="240"/>
        <w:ind w:left="993"/>
        <w:jc w:val="both"/>
        <w:rPr>
          <w:rFonts w:ascii="Book Antiqua" w:hAnsi="Book Antiqua" w:cs="Book Antiqua"/>
          <w:color w:val="000000"/>
          <w:spacing w:val="-2"/>
        </w:rPr>
      </w:pPr>
    </w:p>
    <w:p>
      <w:pPr>
        <w:tabs>
          <w:tab w:val="left" w:pos="1315"/>
          <w:tab w:val="left" w:pos="1594"/>
          <w:tab w:val="left" w:pos="1752"/>
          <w:tab w:val="left" w:pos="1922"/>
          <w:tab w:val="left" w:pos="5335"/>
        </w:tabs>
        <w:spacing w:after="240"/>
        <w:ind w:left="993"/>
        <w:jc w:val="both"/>
        <w:rPr>
          <w:rFonts w:ascii="Book Antiqua" w:hAnsi="Book Antiqua" w:cs="Book Antiqua"/>
        </w:rPr>
      </w:pPr>
      <w:r>
        <w:rPr>
          <w:rFonts w:ascii="Book Antiqua" w:hAnsi="Book Antiqua" w:cs="Book Antiqua"/>
          <w:color w:val="000000"/>
          <w:spacing w:val="-2"/>
        </w:rPr>
        <w:t xml:space="preserve">Pour les normes particulières appliquées en fonction de la densité de population et de la distance par rapport à l’établissement de même caractère le plus proche organisant le même degré dans la même forme d’enseignement, il convient de se référer au tableau des normes de maintien repris au </w:t>
      </w:r>
      <w:r>
        <w:rPr>
          <w:rFonts w:ascii="Book Antiqua" w:hAnsi="Book Antiqua" w:cs="Book Antiqua"/>
          <w:spacing w:val="-2"/>
        </w:rPr>
        <w:t xml:space="preserve">chapitre 4 </w:t>
      </w:r>
      <w:r>
        <w:rPr>
          <w:rFonts w:ascii="Book Antiqua" w:hAnsi="Book Antiqua" w:cs="Book Antiqua"/>
        </w:rPr>
        <w:t xml:space="preserve">des Directives annuelles pour l’enseignement secondaire ordinaire de plein exercice, organisation, structures, encadrement ». </w:t>
      </w:r>
    </w:p>
    <w:p>
      <w:pPr>
        <w:tabs>
          <w:tab w:val="left" w:pos="1315"/>
          <w:tab w:val="left" w:pos="1594"/>
          <w:tab w:val="left" w:pos="1752"/>
          <w:tab w:val="left" w:pos="1922"/>
          <w:tab w:val="left" w:pos="5335"/>
        </w:tabs>
        <w:spacing w:after="240"/>
        <w:ind w:left="993"/>
        <w:jc w:val="both"/>
        <w:rPr>
          <w:rFonts w:ascii="Book Antiqua" w:hAnsi="Book Antiqua" w:cs="Book Antiqua"/>
          <w:color w:val="000000"/>
        </w:rPr>
      </w:pPr>
      <w:r>
        <w:rPr>
          <w:rFonts w:ascii="Book Antiqua" w:hAnsi="Book Antiqua" w:cs="Book Antiqua"/>
          <w:b/>
        </w:rPr>
        <w:t>Les normes spécifiques des options en « CPU 4-5-6 »</w:t>
      </w:r>
      <w:r>
        <w:rPr>
          <w:rFonts w:ascii="Book Antiqua" w:hAnsi="Book Antiqua" w:cs="Book Antiqua"/>
        </w:rPr>
        <w:t xml:space="preserve"> sont développées dans la </w:t>
      </w:r>
      <w:r>
        <w:rPr>
          <w:rFonts w:ascii="Book Antiqua" w:hAnsi="Book Antiqua" w:cs="Book Antiqua"/>
          <w:color w:val="000000"/>
        </w:rPr>
        <w:t>circulaire n° 6652 du 14/05/18 et notamment :</w:t>
      </w:r>
    </w:p>
    <w:p>
      <w:pPr>
        <w:tabs>
          <w:tab w:val="left" w:pos="1315"/>
          <w:tab w:val="left" w:pos="1594"/>
          <w:tab w:val="left" w:pos="1752"/>
          <w:tab w:val="left" w:pos="1922"/>
          <w:tab w:val="left" w:pos="5335"/>
        </w:tabs>
        <w:spacing w:after="240"/>
        <w:ind w:left="993"/>
        <w:jc w:val="both"/>
        <w:rPr>
          <w:rFonts w:ascii="Book Antiqua" w:hAnsi="Book Antiqua" w:cs="Book Antiqua"/>
          <w:spacing w:val="-2"/>
        </w:rPr>
      </w:pPr>
      <w:r>
        <w:rPr>
          <w:rFonts w:ascii="Book Antiqua" w:hAnsi="Book Antiqua" w:cs="Book Antiqua"/>
          <w:spacing w:val="-2"/>
        </w:rPr>
        <w:t xml:space="preserve">En ce qui concerne les normes de maintien, l’option de base groupée CPU est examinée en continuité de l’option de base groupée appelée à être transformée. </w:t>
      </w:r>
    </w:p>
    <w:p>
      <w:pPr>
        <w:tabs>
          <w:tab w:val="left" w:pos="1315"/>
          <w:tab w:val="left" w:pos="1594"/>
          <w:tab w:val="left" w:pos="1752"/>
          <w:tab w:val="left" w:pos="1922"/>
          <w:tab w:val="left" w:pos="5335"/>
        </w:tabs>
        <w:spacing w:after="240"/>
        <w:ind w:left="993"/>
        <w:jc w:val="both"/>
        <w:rPr>
          <w:rFonts w:ascii="Book Antiqua" w:hAnsi="Book Antiqua" w:cs="Book Antiqua"/>
          <w:spacing w:val="-2"/>
        </w:rPr>
      </w:pPr>
      <w:r>
        <w:rPr>
          <w:rFonts w:ascii="Book Antiqua" w:hAnsi="Book Antiqua" w:cs="Book Antiqua"/>
          <w:spacing w:val="-2"/>
        </w:rPr>
        <w:t>La norme de maintien, prévue sur le degré en régime organique pour les options de base groupées du 2</w:t>
      </w:r>
      <w:r>
        <w:rPr>
          <w:rFonts w:ascii="Book Antiqua" w:hAnsi="Book Antiqua" w:cs="Book Antiqua"/>
          <w:spacing w:val="-2"/>
          <w:vertAlign w:val="superscript"/>
        </w:rPr>
        <w:t>e</w:t>
      </w:r>
      <w:r>
        <w:rPr>
          <w:rFonts w:ascii="Book Antiqua" w:hAnsi="Book Antiqua" w:cs="Book Antiqua"/>
          <w:spacing w:val="-2"/>
        </w:rPr>
        <w:t xml:space="preserve"> degré professionnel qui sont liées aux options qui entrent dans le nouveau régime de la  ‘CPU 4-5-6’ (cf. tableau 2.5 de la circulaire n°6652), est réduite de moitié et s’applique à la population scolaire de 3ème année, y compris pour les établissements qui ne sont pas concernés par la transformation des options de base groupées en CPU 4-5-6.</w:t>
      </w:r>
    </w:p>
    <w:p>
      <w:pPr>
        <w:tabs>
          <w:tab w:val="left" w:pos="1315"/>
          <w:tab w:val="left" w:pos="1594"/>
          <w:tab w:val="left" w:pos="1752"/>
          <w:tab w:val="left" w:pos="1922"/>
          <w:tab w:val="left" w:pos="5335"/>
        </w:tabs>
        <w:spacing w:after="240"/>
        <w:ind w:left="993"/>
        <w:jc w:val="both"/>
        <w:rPr>
          <w:rFonts w:ascii="Book Antiqua" w:hAnsi="Book Antiqua" w:cs="Book Antiqua"/>
          <w:spacing w:val="-2"/>
        </w:rPr>
      </w:pPr>
      <w:r>
        <w:rPr>
          <w:rFonts w:ascii="Book Antiqua" w:hAnsi="Book Antiqua" w:cs="Book Antiqua"/>
          <w:spacing w:val="-2"/>
        </w:rPr>
        <w:t xml:space="preserve">- Les normes de maintien prévues pour la 5ème année sont requises en 4ème année, pour les options de base groupées organisées dans le régime de la CPU en 4ème, 5ème et 6ème années. </w:t>
      </w:r>
    </w:p>
    <w:p>
      <w:pPr>
        <w:tabs>
          <w:tab w:val="left" w:pos="1315"/>
          <w:tab w:val="left" w:pos="1594"/>
          <w:tab w:val="left" w:pos="1752"/>
          <w:tab w:val="left" w:pos="1922"/>
          <w:tab w:val="left" w:pos="5335"/>
        </w:tabs>
        <w:spacing w:after="240"/>
        <w:ind w:left="993"/>
        <w:jc w:val="both"/>
        <w:rPr>
          <w:rFonts w:ascii="Book Antiqua" w:hAnsi="Book Antiqua" w:cs="Book Antiqua"/>
          <w:spacing w:val="-2"/>
        </w:rPr>
      </w:pPr>
      <w:r>
        <w:rPr>
          <w:rFonts w:ascii="Book Antiqua" w:hAnsi="Book Antiqua" w:cs="Book Antiqua"/>
          <w:spacing w:val="-2"/>
        </w:rPr>
        <w:t xml:space="preserve">- Si l’option est organisée en plein exercice en 4ème année et en en alternance en 5ème et 6ème années ou uniquement en 6ème année, la norme de maintien s’observe sur la population de l’option organisée en 4ème année de l’enseignement de plein exercice. </w:t>
      </w:r>
    </w:p>
    <w:p>
      <w:pPr>
        <w:tabs>
          <w:tab w:val="left" w:pos="828"/>
          <w:tab w:val="left" w:pos="7064"/>
        </w:tabs>
        <w:spacing w:after="360"/>
        <w:ind w:left="993"/>
        <w:jc w:val="both"/>
        <w:rPr>
          <w:rFonts w:ascii="Book Antiqua" w:hAnsi="Book Antiqua" w:cs="Book Antiqua"/>
          <w:b/>
          <w:spacing w:val="-2"/>
          <w:lang w:val="fr-BE"/>
        </w:rPr>
      </w:pPr>
      <w:r>
        <w:rPr>
          <w:rFonts w:ascii="Book Antiqua" w:hAnsi="Book Antiqua" w:cs="Book Antiqua"/>
          <w:b/>
          <w:spacing w:val="-2"/>
          <w:lang w:val="fr-BE"/>
        </w:rPr>
        <w:t xml:space="preserve">NB : la population scolaire au 15 janvier peut être modifiée sur la base des rapports des vérificateurs, mais également suite au départ d’élèves exclus. </w:t>
      </w:r>
    </w:p>
    <w:p>
      <w:pPr>
        <w:tabs>
          <w:tab w:val="left" w:pos="828"/>
          <w:tab w:val="left" w:pos="7064"/>
        </w:tabs>
        <w:spacing w:after="360"/>
        <w:ind w:left="993"/>
        <w:jc w:val="both"/>
        <w:rPr>
          <w:rFonts w:ascii="Book Antiqua" w:hAnsi="Book Antiqua" w:cs="Book Antiqua"/>
          <w:b/>
          <w:spacing w:val="-2"/>
          <w:lang w:val="fr-BE"/>
        </w:rPr>
      </w:pPr>
    </w:p>
    <w:p>
      <w:pPr>
        <w:pStyle w:val="niveau3"/>
        <w:ind w:left="709"/>
      </w:pPr>
      <w:bookmarkStart w:id="102" w:name="_Toc522700818"/>
      <w:r>
        <w:t xml:space="preserve">iii. </w:t>
      </w:r>
      <w:r>
        <w:rPr>
          <w:u w:val="single"/>
        </w:rPr>
        <w:t>MODALITES D'APPLICATION</w:t>
      </w:r>
      <w:bookmarkEnd w:id="102"/>
    </w:p>
    <w:p>
      <w:pPr>
        <w:spacing w:after="240"/>
        <w:ind w:left="709"/>
        <w:jc w:val="both"/>
        <w:rPr>
          <w:rFonts w:ascii="Book Antiqua" w:hAnsi="Book Antiqua" w:cs="Book Antiqua"/>
          <w:color w:val="000000"/>
        </w:rPr>
      </w:pPr>
      <w:r>
        <w:rPr>
          <w:rFonts w:ascii="Book Antiqua" w:hAnsi="Book Antiqua" w:cs="Book Antiqua"/>
          <w:color w:val="000000"/>
        </w:rPr>
        <w:t>Le tableau ci-après présente l’ensemble des situations relatives aux maintiens qu’un établissement scolaire est susceptible de rencontrer lors de l’année scolaire 2018-2019.</w:t>
      </w:r>
    </w:p>
    <w:p>
      <w:pPr>
        <w:spacing w:after="120"/>
        <w:ind w:left="709"/>
        <w:rPr>
          <w:rFonts w:ascii="Book Antiqua" w:hAnsi="Book Antiqua" w:cs="Book Antiqua"/>
          <w:b/>
          <w:color w:val="000000"/>
        </w:rPr>
      </w:pPr>
      <w:r>
        <w:rPr>
          <w:rFonts w:ascii="Book Antiqua" w:hAnsi="Book Antiqua" w:cs="Book Antiqua"/>
          <w:b/>
          <w:color w:val="000000"/>
        </w:rPr>
        <w:t xml:space="preserve">Sigles utilisés : </w:t>
      </w:r>
    </w:p>
    <w:p>
      <w:pPr>
        <w:ind w:left="1249" w:hanging="540"/>
        <w:jc w:val="both"/>
        <w:rPr>
          <w:rFonts w:ascii="Book Antiqua" w:hAnsi="Book Antiqua" w:cs="Book Antiqua"/>
          <w:b/>
          <w:color w:val="000000"/>
        </w:rPr>
      </w:pPr>
      <w:r>
        <w:rPr>
          <w:rFonts w:ascii="Book Antiqua" w:hAnsi="Book Antiqua" w:cs="Book Antiqua"/>
          <w:b/>
          <w:color w:val="000000"/>
        </w:rPr>
        <w:t>M1 : option ou année d’études ou degré n’atteignant pas pour la première fois la norme de maintien requise au 15 janvier.</w:t>
      </w:r>
    </w:p>
    <w:p>
      <w:pPr>
        <w:ind w:left="1249" w:hanging="540"/>
        <w:jc w:val="both"/>
        <w:rPr>
          <w:rFonts w:ascii="Book Antiqua" w:hAnsi="Book Antiqua" w:cs="Book Antiqua"/>
          <w:b/>
          <w:color w:val="000000"/>
        </w:rPr>
      </w:pPr>
      <w:r>
        <w:rPr>
          <w:rFonts w:ascii="Book Antiqua" w:hAnsi="Book Antiqua" w:cs="Book Antiqua"/>
          <w:b/>
          <w:color w:val="000000"/>
        </w:rPr>
        <w:t>M2 : option ou année d’études ou degré n’atteignant pas pour la deuxième fois consécutivement la norme de maintien requise au 15 janvier.</w:t>
      </w:r>
    </w:p>
    <w:p>
      <w:pPr>
        <w:ind w:left="709"/>
        <w:jc w:val="both"/>
        <w:rPr>
          <w:rFonts w:ascii="Book Antiqua" w:hAnsi="Book Antiqua" w:cs="Book Antiqua"/>
          <w:b/>
          <w:color w:val="000000"/>
        </w:rPr>
      </w:pPr>
      <w:r>
        <w:rPr>
          <w:rFonts w:ascii="Book Antiqua" w:hAnsi="Book Antiqua" w:cs="Book Antiqua"/>
          <w:b/>
          <w:color w:val="000000"/>
        </w:rPr>
        <w:t>S1 : suspension pour la première fois de l’organisation d’une option.</w:t>
      </w:r>
    </w:p>
    <w:p>
      <w:pPr>
        <w:ind w:left="709"/>
        <w:jc w:val="both"/>
        <w:rPr>
          <w:rFonts w:ascii="Book Antiqua" w:hAnsi="Book Antiqua" w:cs="Book Antiqua"/>
          <w:b/>
          <w:color w:val="000000"/>
        </w:rPr>
      </w:pPr>
      <w:r>
        <w:rPr>
          <w:rFonts w:ascii="Book Antiqua" w:hAnsi="Book Antiqua" w:cs="Book Antiqua"/>
          <w:b/>
          <w:color w:val="000000"/>
        </w:rPr>
        <w:t>S2 : suspension pour la deuxième fois consécutivement de l’organisation d’une option.</w:t>
      </w:r>
    </w:p>
    <w:p>
      <w:pPr>
        <w:ind w:left="709"/>
        <w:jc w:val="both"/>
        <w:rPr>
          <w:rFonts w:ascii="Book Antiqua" w:hAnsi="Book Antiqua" w:cs="Book Antiqua"/>
          <w:b/>
          <w:color w:val="000000"/>
        </w:rPr>
      </w:pPr>
    </w:p>
    <w:p>
      <w:pPr>
        <w:ind w:left="709"/>
        <w:jc w:val="both"/>
        <w:rPr>
          <w:rFonts w:ascii="Book Antiqua" w:hAnsi="Book Antiqua" w:cs="Book Antiqua"/>
          <w:b/>
          <w:color w:val="000000"/>
        </w:rPr>
      </w:pPr>
    </w:p>
    <w:p>
      <w:pPr>
        <w:ind w:left="709"/>
        <w:jc w:val="both"/>
        <w:rPr>
          <w:rFonts w:ascii="Book Antiqua" w:hAnsi="Book Antiqua" w:cs="Book Antiqua"/>
          <w:b/>
          <w:color w:val="000000"/>
        </w:rPr>
      </w:pPr>
    </w:p>
    <w:p>
      <w:pPr>
        <w:ind w:left="709"/>
        <w:jc w:val="both"/>
        <w:rPr>
          <w:rFonts w:ascii="Book Antiqua" w:hAnsi="Book Antiqua" w:cs="Book Antiqua"/>
          <w:b/>
          <w:color w:val="000000"/>
        </w:rPr>
      </w:pPr>
    </w:p>
    <w:p>
      <w:pPr>
        <w:ind w:left="709"/>
        <w:jc w:val="both"/>
        <w:rPr>
          <w:rFonts w:ascii="Book Antiqua" w:hAnsi="Book Antiqua" w:cs="Book Antiqua"/>
          <w:b/>
          <w:color w:val="000000"/>
        </w:rPr>
      </w:pPr>
    </w:p>
    <w:p>
      <w:pPr>
        <w:ind w:left="709"/>
        <w:jc w:val="both"/>
        <w:rPr>
          <w:rFonts w:ascii="Book Antiqua" w:hAnsi="Book Antiqua"/>
          <w:b/>
        </w:rPr>
      </w:pPr>
    </w:p>
    <w:p>
      <w:pPr>
        <w:ind w:left="709"/>
        <w:rPr>
          <w:rFonts w:ascii="Book Antiqua" w:hAnsi="Book Antiqua"/>
          <w:b/>
        </w:rPr>
      </w:pPr>
    </w:p>
    <w:tbl>
      <w:tblPr>
        <w:tblW w:w="9754" w:type="dxa"/>
        <w:tblInd w:w="-25" w:type="dxa"/>
        <w:tblLayout w:type="fixed"/>
        <w:tblLook w:val="0000" w:firstRow="0" w:lastRow="0" w:firstColumn="0" w:lastColumn="0" w:noHBand="0" w:noVBand="0"/>
      </w:tblPr>
      <w:tblGrid>
        <w:gridCol w:w="1040"/>
        <w:gridCol w:w="1560"/>
        <w:gridCol w:w="2960"/>
        <w:gridCol w:w="4194"/>
      </w:tblGrid>
      <w:tr>
        <w:tc>
          <w:tcPr>
            <w:tcW w:w="1040" w:type="dxa"/>
            <w:tcBorders>
              <w:bottom w:val="single" w:sz="4" w:space="0" w:color="000000"/>
            </w:tcBorders>
          </w:tcPr>
          <w:p>
            <w:pPr>
              <w:snapToGrid w:val="0"/>
            </w:pPr>
          </w:p>
        </w:tc>
        <w:tc>
          <w:tcPr>
            <w:tcW w:w="1560" w:type="dxa"/>
            <w:tcBorders>
              <w:top w:val="single" w:sz="4" w:space="0" w:color="000000"/>
              <w:left w:val="single" w:sz="4" w:space="0" w:color="000000"/>
              <w:bottom w:val="single" w:sz="4" w:space="0" w:color="000000"/>
            </w:tcBorders>
          </w:tcPr>
          <w:p>
            <w:pPr>
              <w:snapToGrid w:val="0"/>
              <w:jc w:val="center"/>
              <w:rPr>
                <w:rFonts w:ascii="Book Antiqua" w:hAnsi="Book Antiqua"/>
                <w:b/>
                <w:highlight w:val="yellow"/>
                <w:shd w:val="clear" w:color="auto" w:fill="FFFF00"/>
              </w:rPr>
            </w:pPr>
            <w:r>
              <w:rPr>
                <w:rFonts w:ascii="Book Antiqua" w:hAnsi="Book Antiqua"/>
                <w:b/>
                <w:shd w:val="clear" w:color="auto" w:fill="FFFF00"/>
              </w:rPr>
              <w:t>2016-2017</w:t>
            </w:r>
          </w:p>
        </w:tc>
        <w:tc>
          <w:tcPr>
            <w:tcW w:w="2960" w:type="dxa"/>
            <w:tcBorders>
              <w:top w:val="single" w:sz="4" w:space="0" w:color="000000"/>
              <w:left w:val="single" w:sz="4" w:space="0" w:color="000000"/>
              <w:bottom w:val="single" w:sz="4" w:space="0" w:color="000000"/>
            </w:tcBorders>
            <w:shd w:val="clear" w:color="auto" w:fill="auto"/>
          </w:tcPr>
          <w:p>
            <w:pPr>
              <w:snapToGrid w:val="0"/>
              <w:jc w:val="center"/>
              <w:rPr>
                <w:rFonts w:ascii="Book Antiqua" w:hAnsi="Book Antiqua"/>
                <w:b/>
                <w:highlight w:val="yellow"/>
                <w:shd w:val="clear" w:color="auto" w:fill="FFFF00"/>
              </w:rPr>
            </w:pPr>
            <w:r>
              <w:rPr>
                <w:rFonts w:ascii="Book Antiqua" w:hAnsi="Book Antiqua"/>
                <w:b/>
                <w:shd w:val="clear" w:color="auto" w:fill="FFFF00"/>
              </w:rPr>
              <w:t>2017-2018</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highlight w:val="yellow"/>
                <w:u w:val="single"/>
              </w:rPr>
            </w:pPr>
            <w:r>
              <w:rPr>
                <w:rFonts w:ascii="Book Antiqua" w:hAnsi="Book Antiqua"/>
                <w:b/>
                <w:highlight w:val="yellow"/>
                <w:shd w:val="clear" w:color="auto" w:fill="FFFF00"/>
              </w:rPr>
              <w:t>2018-2019</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1</w:t>
            </w:r>
            <w:r>
              <w:rPr>
                <w:rFonts w:ascii="Book Antiqua" w:hAnsi="Book Antiqua"/>
                <w:u w:val="single"/>
                <w:vertAlign w:val="superscript"/>
              </w:rPr>
              <w:t xml:space="preserve">ère </w:t>
            </w:r>
            <w:r>
              <w:rPr>
                <w:rFonts w:ascii="Book Antiqua" w:hAnsi="Book Antiqua"/>
                <w:u w:val="single"/>
              </w:rPr>
              <w:t>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rPr>
            </w:pPr>
            <w:r>
              <w:rPr>
                <w:rFonts w:ascii="Book Antiqua" w:hAnsi="Book Antiqua"/>
                <w:b/>
              </w:rPr>
              <w:t>M1 au 15/01/2017</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rPr>
            </w:pPr>
            <w:r>
              <w:rPr>
                <w:rFonts w:ascii="Book Antiqua" w:hAnsi="Book Antiqua"/>
              </w:rPr>
              <w:t>Norme de maintien à nouveau</w:t>
            </w:r>
          </w:p>
          <w:p>
            <w:pPr>
              <w:rPr>
                <w:rFonts w:ascii="Book Antiqua" w:hAnsi="Book Antiqua"/>
              </w:rPr>
            </w:pPr>
            <w:r>
              <w:rPr>
                <w:rFonts w:ascii="Book Antiqua" w:hAnsi="Book Antiqua"/>
              </w:rPr>
              <w:t>atteinte au 15/01/2018</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rPr>
              <w:t>Organisation sans condition de norme au 01/10/2018.</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2</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M1 au 15/01/2017</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b/>
              </w:rPr>
              <w:t>M2 au 15/01/2018</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3 possibilités</w:t>
            </w:r>
            <w:r>
              <w:rPr>
                <w:rFonts w:ascii="Book Antiqua" w:hAnsi="Book Antiqua"/>
              </w:rPr>
              <w:t> :</w:t>
            </w:r>
          </w:p>
          <w:p>
            <w:pPr>
              <w:jc w:val="both"/>
              <w:rPr>
                <w:rFonts w:ascii="Book Antiqua" w:hAnsi="Book Antiqua"/>
              </w:rPr>
            </w:pPr>
            <w:r>
              <w:rPr>
                <w:rFonts w:ascii="Book Antiqua" w:hAnsi="Book Antiqua"/>
              </w:rPr>
              <w:t xml:space="preserve">1. </w:t>
            </w:r>
            <w:r>
              <w:rPr>
                <w:rFonts w:ascii="Book Antiqua" w:hAnsi="Book Antiqua"/>
                <w:u w:val="single"/>
              </w:rPr>
              <w:t>Fermeture</w:t>
            </w:r>
            <w:r>
              <w:rPr>
                <w:rFonts w:ascii="Book Antiqua" w:hAnsi="Book Antiqua"/>
              </w:rPr>
              <w:t xml:space="preserve"> (celle-ci ne peut en aucun cas être considérée comme une suspension. La réorganisation ultérieure implique la programmation).</w:t>
            </w:r>
          </w:p>
          <w:p>
            <w:pPr>
              <w:jc w:val="both"/>
              <w:rPr>
                <w:rFonts w:ascii="Book Antiqua" w:hAnsi="Book Antiqua"/>
              </w:rPr>
            </w:pPr>
            <w:r>
              <w:rPr>
                <w:rFonts w:ascii="Book Antiqua" w:hAnsi="Book Antiqua"/>
              </w:rPr>
              <w:t xml:space="preserve">2. </w:t>
            </w:r>
            <w:r>
              <w:rPr>
                <w:rFonts w:ascii="Book Antiqua" w:hAnsi="Book Antiqua"/>
                <w:u w:val="single"/>
              </w:rPr>
              <w:t>Poursuite de l’organisation</w:t>
            </w:r>
            <w:r>
              <w:rPr>
                <w:rFonts w:ascii="Book Antiqua" w:hAnsi="Book Antiqua"/>
              </w:rPr>
              <w:t xml:space="preserve"> après avoir introduit une demande de programmation et avoir obtenu l’autorisation de création. La norme de création doit en outre être atteinte au 01/10/2018.</w:t>
            </w:r>
          </w:p>
          <w:p>
            <w:pPr>
              <w:jc w:val="both"/>
              <w:rPr>
                <w:rFonts w:ascii="Book Antiqua" w:hAnsi="Book Antiqua"/>
              </w:rPr>
            </w:pPr>
            <w:r>
              <w:rPr>
                <w:rFonts w:ascii="Book Antiqua" w:hAnsi="Book Antiqua"/>
              </w:rPr>
              <w:t xml:space="preserve">3. </w:t>
            </w:r>
            <w:r>
              <w:rPr>
                <w:rFonts w:ascii="Book Antiqua" w:hAnsi="Book Antiqua"/>
                <w:u w:val="single"/>
              </w:rPr>
              <w:t>Poursuite de l’organisation</w:t>
            </w:r>
            <w:r>
              <w:rPr>
                <w:rFonts w:ascii="Book Antiqua" w:hAnsi="Book Antiqua"/>
              </w:rPr>
              <w:t xml:space="preserve"> si dérogation demandée et accordée sur base, selon le cas, </w:t>
            </w:r>
          </w:p>
          <w:p>
            <w:pPr>
              <w:jc w:val="both"/>
              <w:rPr>
                <w:rFonts w:ascii="Book Antiqua" w:hAnsi="Book Antiqua"/>
              </w:rPr>
            </w:pPr>
            <w:r>
              <w:rPr>
                <w:rFonts w:ascii="Book Antiqua" w:hAnsi="Book Antiqua"/>
              </w:rPr>
              <w:t>de l’article 19, §§ 2 ou §3 du décret du 29 juillet 1992</w:t>
            </w:r>
            <w:r>
              <w:rPr>
                <w:rStyle w:val="Caractresdenotedebasdepage"/>
                <w:rFonts w:ascii="Book Antiqua" w:hAnsi="Book Antiqua"/>
              </w:rPr>
              <w:footnoteReference w:id="201"/>
            </w:r>
            <w:r>
              <w:rPr>
                <w:rFonts w:ascii="Book Antiqua" w:hAnsi="Book Antiqua"/>
              </w:rPr>
              <w:t>.</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3</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M1 au 15/01/2017</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S1</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2 possibilités</w:t>
            </w:r>
            <w:r>
              <w:rPr>
                <w:rFonts w:ascii="Book Antiqua" w:hAnsi="Book Antiqua"/>
              </w:rPr>
              <w:t> :</w:t>
            </w:r>
          </w:p>
          <w:p>
            <w:pPr>
              <w:jc w:val="both"/>
              <w:rPr>
                <w:rFonts w:ascii="Book Antiqua" w:hAnsi="Book Antiqua"/>
                <w:u w:val="single"/>
              </w:rPr>
            </w:pPr>
            <w:r>
              <w:rPr>
                <w:rFonts w:ascii="Book Antiqua" w:hAnsi="Book Antiqua"/>
              </w:rPr>
              <w:t xml:space="preserve">1. </w:t>
            </w:r>
            <w:r>
              <w:rPr>
                <w:rFonts w:ascii="Book Antiqua" w:hAnsi="Book Antiqua"/>
                <w:u w:val="single"/>
              </w:rPr>
              <w:t>S2.</w:t>
            </w:r>
          </w:p>
          <w:p>
            <w:pPr>
              <w:jc w:val="both"/>
              <w:rPr>
                <w:rFonts w:ascii="Book Antiqua" w:hAnsi="Book Antiqua"/>
              </w:rPr>
            </w:pPr>
            <w:r>
              <w:rPr>
                <w:rFonts w:ascii="Book Antiqua" w:hAnsi="Book Antiqua"/>
              </w:rPr>
              <w:t xml:space="preserve">2. </w:t>
            </w:r>
            <w:r>
              <w:rPr>
                <w:rFonts w:ascii="Book Antiqua" w:hAnsi="Book Antiqua"/>
                <w:u w:val="single"/>
              </w:rPr>
              <w:t>Réorganisation</w:t>
            </w:r>
            <w:r>
              <w:rPr>
                <w:rFonts w:ascii="Book Antiqua" w:hAnsi="Book Antiqua"/>
              </w:rPr>
              <w:t xml:space="preserve"> NB : l’option conserve le statut M1 acquis le 15/01/2017 </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4</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Norme de maintien atteinte au 15/01/2017</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b/>
              </w:rPr>
              <w:t>M1 au 15/01/2018</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2 possibilités</w:t>
            </w:r>
            <w:r>
              <w:rPr>
                <w:rFonts w:ascii="Book Antiqua" w:hAnsi="Book Antiqua"/>
              </w:rPr>
              <w:t> :</w:t>
            </w:r>
          </w:p>
          <w:p>
            <w:pPr>
              <w:jc w:val="both"/>
              <w:rPr>
                <w:rFonts w:ascii="Book Antiqua" w:hAnsi="Book Antiqua"/>
              </w:rPr>
            </w:pPr>
            <w:r>
              <w:rPr>
                <w:rFonts w:ascii="Book Antiqua" w:hAnsi="Book Antiqua"/>
              </w:rPr>
              <w:t xml:space="preserve">1. </w:t>
            </w:r>
            <w:r>
              <w:rPr>
                <w:rFonts w:ascii="Book Antiqua" w:hAnsi="Book Antiqua"/>
                <w:u w:val="single"/>
              </w:rPr>
              <w:t>Poursuite de l’organisation</w:t>
            </w:r>
            <w:r>
              <w:rPr>
                <w:rFonts w:ascii="Book Antiqua" w:hAnsi="Book Antiqua"/>
              </w:rPr>
              <w:t xml:space="preserve"> sans condition de norme au 01/10/2018.</w:t>
            </w:r>
          </w:p>
          <w:p>
            <w:pPr>
              <w:jc w:val="both"/>
              <w:rPr>
                <w:rFonts w:ascii="Book Antiqua" w:hAnsi="Book Antiqua"/>
                <w:lang w:val="en-US"/>
              </w:rPr>
            </w:pPr>
            <w:r>
              <w:rPr>
                <w:rFonts w:ascii="Book Antiqua" w:hAnsi="Book Antiqua"/>
                <w:lang w:val="en-US"/>
              </w:rPr>
              <w:t xml:space="preserve">2. </w:t>
            </w:r>
            <w:r>
              <w:rPr>
                <w:rFonts w:ascii="Book Antiqua" w:hAnsi="Book Antiqua"/>
                <w:u w:val="single"/>
                <w:lang w:val="en-US"/>
              </w:rPr>
              <w:t>S1</w:t>
            </w:r>
            <w:r>
              <w:rPr>
                <w:rFonts w:ascii="Book Antiqua" w:hAnsi="Book Antiqua"/>
                <w:lang w:val="en-US"/>
              </w:rPr>
              <w:t>.</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lang w:val="en-US"/>
              </w:rPr>
            </w:pPr>
            <w:r>
              <w:rPr>
                <w:rFonts w:ascii="Book Antiqua" w:hAnsi="Book Antiqua"/>
                <w:u w:val="single"/>
                <w:lang w:val="en-US"/>
              </w:rPr>
              <w:t>5</w:t>
            </w:r>
            <w:r>
              <w:rPr>
                <w:rFonts w:ascii="Book Antiqua" w:hAnsi="Book Antiqua"/>
                <w:u w:val="single"/>
                <w:vertAlign w:val="superscript"/>
                <w:lang w:val="en-US"/>
              </w:rPr>
              <w:t>ème</w:t>
            </w:r>
            <w:r>
              <w:rPr>
                <w:rFonts w:ascii="Book Antiqua" w:hAnsi="Book Antiqua"/>
                <w:u w:val="single"/>
                <w:lang w:val="en-US"/>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lang w:val="en-US"/>
              </w:rPr>
            </w:pPr>
            <w:r>
              <w:rPr>
                <w:rFonts w:ascii="Book Antiqua" w:hAnsi="Book Antiqua"/>
                <w:b/>
                <w:lang w:val="en-US"/>
              </w:rPr>
              <w:t>S1</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S2</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2 possibilités</w:t>
            </w:r>
            <w:r>
              <w:rPr>
                <w:rFonts w:ascii="Book Antiqua" w:hAnsi="Book Antiqua"/>
              </w:rPr>
              <w:t> :</w:t>
            </w:r>
          </w:p>
          <w:p>
            <w:pPr>
              <w:jc w:val="both"/>
              <w:rPr>
                <w:rFonts w:ascii="Book Antiqua" w:hAnsi="Book Antiqua"/>
              </w:rPr>
            </w:pPr>
            <w:r>
              <w:rPr>
                <w:rFonts w:ascii="Book Antiqua" w:hAnsi="Book Antiqua"/>
              </w:rPr>
              <w:t xml:space="preserve">1. </w:t>
            </w:r>
            <w:r>
              <w:rPr>
                <w:rFonts w:ascii="Book Antiqua" w:hAnsi="Book Antiqua"/>
                <w:u w:val="single"/>
              </w:rPr>
              <w:t>Fermeture de l’option</w:t>
            </w:r>
            <w:r>
              <w:rPr>
                <w:rFonts w:ascii="Book Antiqua" w:hAnsi="Book Antiqua"/>
              </w:rPr>
              <w:t xml:space="preserve"> (la réorganisation ultérieure implique la programmation).</w:t>
            </w:r>
          </w:p>
          <w:p>
            <w:pPr>
              <w:jc w:val="both"/>
              <w:rPr>
                <w:rFonts w:ascii="Book Antiqua" w:hAnsi="Book Antiqua"/>
              </w:rPr>
            </w:pPr>
            <w:r>
              <w:rPr>
                <w:rFonts w:ascii="Book Antiqua" w:hAnsi="Book Antiqua"/>
              </w:rPr>
              <w:t xml:space="preserve">2. </w:t>
            </w:r>
            <w:r>
              <w:rPr>
                <w:rFonts w:ascii="Book Antiqua" w:hAnsi="Book Antiqua"/>
                <w:u w:val="single"/>
              </w:rPr>
              <w:t>Réorganisation de l’option</w:t>
            </w:r>
            <w:r>
              <w:rPr>
                <w:rFonts w:ascii="Book Antiqua" w:hAnsi="Book Antiqua"/>
              </w:rPr>
              <w:t xml:space="preserve">. Attention : l’option conserve le statut de maintien qu’elle avait acquis le 15/01/2016. </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6</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S1 d’une option qui était en M1 au 15/01/2016</w:t>
            </w:r>
          </w:p>
        </w:tc>
        <w:tc>
          <w:tcPr>
            <w:tcW w:w="2960" w:type="dxa"/>
            <w:tcBorders>
              <w:top w:val="single" w:sz="4" w:space="0" w:color="000000"/>
              <w:left w:val="single" w:sz="4" w:space="0" w:color="000000"/>
              <w:bottom w:val="single" w:sz="4" w:space="0" w:color="000000"/>
            </w:tcBorders>
          </w:tcPr>
          <w:p>
            <w:pPr>
              <w:snapToGrid w:val="0"/>
              <w:jc w:val="both"/>
              <w:rPr>
                <w:rFonts w:ascii="Book Antiqua" w:hAnsi="Book Antiqua"/>
              </w:rPr>
            </w:pPr>
            <w:r>
              <w:rPr>
                <w:rFonts w:ascii="Book Antiqua" w:hAnsi="Book Antiqua"/>
                <w:b/>
              </w:rPr>
              <w:t>Réorganisation de l’option</w:t>
            </w:r>
            <w:r>
              <w:rPr>
                <w:rFonts w:ascii="Book Antiqua" w:hAnsi="Book Antiqua"/>
              </w:rPr>
              <w:t xml:space="preserve"> (et norme de maintien atteinte au 15/01/2018)</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Poursuite de l’organisation</w:t>
            </w:r>
            <w:r>
              <w:rPr>
                <w:rFonts w:ascii="Book Antiqua" w:hAnsi="Book Antiqua"/>
              </w:rPr>
              <w:t xml:space="preserve"> </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7</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S1 d’une option qui était en M1 au 15/01/2016</w:t>
            </w:r>
          </w:p>
        </w:tc>
        <w:tc>
          <w:tcPr>
            <w:tcW w:w="2960" w:type="dxa"/>
            <w:tcBorders>
              <w:top w:val="single" w:sz="4" w:space="0" w:color="000000"/>
              <w:left w:val="single" w:sz="4" w:space="0" w:color="000000"/>
              <w:bottom w:val="single" w:sz="4" w:space="0" w:color="000000"/>
            </w:tcBorders>
          </w:tcPr>
          <w:p>
            <w:pPr>
              <w:snapToGrid w:val="0"/>
              <w:jc w:val="both"/>
              <w:rPr>
                <w:rFonts w:ascii="Book Antiqua" w:hAnsi="Book Antiqua"/>
              </w:rPr>
            </w:pPr>
            <w:r>
              <w:rPr>
                <w:rFonts w:ascii="Book Antiqua" w:hAnsi="Book Antiqua"/>
                <w:b/>
              </w:rPr>
              <w:t>Réorganisation de l’option</w:t>
            </w:r>
            <w:r>
              <w:rPr>
                <w:rFonts w:ascii="Book Antiqua" w:hAnsi="Book Antiqua"/>
              </w:rPr>
              <w:t xml:space="preserve"> (et norme de maintien non atteinte au 15/01/2018)</w:t>
            </w:r>
          </w:p>
          <w:p>
            <w:pPr>
              <w:snapToGrid w:val="0"/>
              <w:jc w:val="both"/>
              <w:rPr>
                <w:rFonts w:ascii="Book Antiqua" w:hAnsi="Book Antiqua"/>
                <w:b/>
              </w:rPr>
            </w:pPr>
            <w:r>
              <w:rPr>
                <w:rFonts w:ascii="Book Antiqua" w:hAnsi="Book Antiqua"/>
                <w:b/>
              </w:rPr>
              <w:t>M2</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3 possibilités</w:t>
            </w:r>
            <w:r>
              <w:rPr>
                <w:rFonts w:ascii="Book Antiqua" w:hAnsi="Book Antiqua"/>
              </w:rPr>
              <w:t> :</w:t>
            </w:r>
          </w:p>
          <w:p>
            <w:pPr>
              <w:ind w:hanging="573"/>
              <w:jc w:val="both"/>
              <w:rPr>
                <w:rFonts w:ascii="Book Antiqua" w:hAnsi="Book Antiqua"/>
              </w:rPr>
            </w:pPr>
            <w:r>
              <w:rPr>
                <w:rFonts w:ascii="Book Antiqua" w:hAnsi="Book Antiqua"/>
                <w:u w:val="single"/>
              </w:rPr>
              <w:t>1. F  1. Fermeture de l’option</w:t>
            </w:r>
            <w:r>
              <w:rPr>
                <w:rFonts w:ascii="Book Antiqua" w:hAnsi="Book Antiqua"/>
              </w:rPr>
              <w:t xml:space="preserve"> (la réorganisation ultérieure implique la programmation)</w:t>
            </w:r>
          </w:p>
          <w:p>
            <w:pPr>
              <w:jc w:val="both"/>
              <w:rPr>
                <w:rFonts w:ascii="Book Antiqua" w:hAnsi="Book Antiqua"/>
                <w:u w:val="single"/>
              </w:rPr>
            </w:pPr>
            <w:r>
              <w:rPr>
                <w:rFonts w:ascii="Book Antiqua" w:hAnsi="Book Antiqua"/>
                <w:u w:val="single"/>
              </w:rPr>
              <w:t>2. Recréation de l’option</w:t>
            </w:r>
            <w:r>
              <w:rPr>
                <w:rFonts w:ascii="Book Antiqua" w:hAnsi="Book Antiqua"/>
              </w:rPr>
              <w:t xml:space="preserve"> après avoir introduit une demande de programmation et avoir obtenu l’autorisation de création.  La norme de création doit être atteinte au 01/10/2018</w:t>
            </w:r>
            <w:r>
              <w:rPr>
                <w:rFonts w:ascii="Book Antiqua" w:hAnsi="Book Antiqua"/>
                <w:u w:val="single"/>
              </w:rPr>
              <w:t xml:space="preserve">. </w:t>
            </w:r>
          </w:p>
          <w:p>
            <w:pPr>
              <w:jc w:val="both"/>
              <w:rPr>
                <w:rFonts w:ascii="Book Antiqua" w:hAnsi="Book Antiqua"/>
              </w:rPr>
            </w:pPr>
            <w:r>
              <w:rPr>
                <w:rFonts w:ascii="Book Antiqua" w:hAnsi="Book Antiqua"/>
                <w:u w:val="single"/>
              </w:rPr>
              <w:t>3. Poursuite de l’organisation</w:t>
            </w:r>
            <w:r>
              <w:rPr>
                <w:rFonts w:ascii="Book Antiqua" w:hAnsi="Book Antiqua"/>
              </w:rPr>
              <w:t xml:space="preserve"> si dérogation demandée et accordée </w:t>
            </w:r>
          </w:p>
        </w:tc>
      </w:tr>
    </w:tbl>
    <w:p>
      <w:pPr>
        <w:ind w:left="709"/>
      </w:pPr>
    </w:p>
    <w:p>
      <w:pPr>
        <w:spacing w:after="120"/>
        <w:ind w:left="709"/>
        <w:jc w:val="both"/>
        <w:rPr>
          <w:rFonts w:ascii="Book Antiqua" w:hAnsi="Book Antiqua" w:cs="Book Antiqua"/>
          <w:color w:val="000000"/>
        </w:rPr>
      </w:pPr>
      <w:r>
        <w:rPr>
          <w:rFonts w:ascii="Book Antiqua" w:hAnsi="Book Antiqua" w:cs="Book Antiqua"/>
          <w:color w:val="000000"/>
        </w:rPr>
        <w:t xml:space="preserve">Ces exemples concernent uniquement les différentes situations que l’on peut rencontrer au début de l’année scolaire 2018-2019. </w:t>
      </w:r>
    </w:p>
    <w:p>
      <w:pPr>
        <w:spacing w:after="120"/>
        <w:ind w:left="709"/>
        <w:jc w:val="both"/>
        <w:rPr>
          <w:rFonts w:ascii="Book Antiqua" w:hAnsi="Book Antiqua" w:cs="Book Antiqua"/>
          <w:color w:val="000000"/>
        </w:rPr>
      </w:pPr>
      <w:r>
        <w:rPr>
          <w:rFonts w:ascii="Book Antiqua" w:hAnsi="Book Antiqua" w:cs="Book Antiqua"/>
          <w:color w:val="000000"/>
        </w:rPr>
        <w:t>Les normes de maintien s’appliquent de manière distincte à l’option, à l’année, au degré. Toutefois, il faut être attentif au fait que la suspension ne vise que les options.</w:t>
      </w:r>
    </w:p>
    <w:p>
      <w:pPr>
        <w:spacing w:after="120"/>
        <w:ind w:left="709"/>
        <w:jc w:val="both"/>
        <w:rPr>
          <w:rFonts w:ascii="Book Antiqua" w:hAnsi="Book Antiqua" w:cs="Book Antiqua"/>
          <w:color w:val="000000"/>
        </w:rPr>
      </w:pPr>
      <w:r>
        <w:rPr>
          <w:rFonts w:ascii="Book Antiqua" w:hAnsi="Book Antiqua" w:cs="Book Antiqua"/>
          <w:color w:val="000000"/>
        </w:rPr>
        <w:lastRenderedPageBreak/>
        <w:t>La fermeture n’a été envisagée, dans le tableau ci-dessus,  que lorsqu’elle est imposée par la réglementation</w:t>
      </w:r>
      <w:r>
        <w:rPr>
          <w:rStyle w:val="Caractresdenotedebasdepage"/>
          <w:rFonts w:ascii="Book Antiqua" w:hAnsi="Book Antiqua" w:cs="Book Antiqua"/>
          <w:color w:val="000000"/>
        </w:rPr>
        <w:footnoteReference w:id="202"/>
      </w:r>
      <w:r>
        <w:rPr>
          <w:rFonts w:ascii="Book Antiqua" w:hAnsi="Book Antiqua" w:cs="Book Antiqua"/>
          <w:color w:val="000000"/>
        </w:rPr>
        <w:t>.</w:t>
      </w:r>
    </w:p>
    <w:p>
      <w:pPr>
        <w:spacing w:after="120"/>
        <w:ind w:left="709"/>
        <w:jc w:val="both"/>
        <w:rPr>
          <w:rFonts w:ascii="Book Antiqua" w:hAnsi="Book Antiqua" w:cs="Book Antiqua"/>
          <w:color w:val="000000"/>
        </w:rPr>
      </w:pPr>
      <w:r>
        <w:rPr>
          <w:rFonts w:ascii="Book Antiqua" w:hAnsi="Book Antiqua" w:cs="Book Antiqua"/>
          <w:color w:val="000000"/>
        </w:rPr>
        <w:t>Lorsque l’on crée un degré ou une option au 2</w:t>
      </w:r>
      <w:r>
        <w:rPr>
          <w:rFonts w:ascii="Book Antiqua" w:hAnsi="Book Antiqua" w:cs="Book Antiqua"/>
          <w:color w:val="000000"/>
          <w:vertAlign w:val="superscript"/>
        </w:rPr>
        <w:t>ème</w:t>
      </w:r>
      <w:r>
        <w:rPr>
          <w:rFonts w:ascii="Book Antiqua" w:hAnsi="Book Antiqua" w:cs="Book Antiqua"/>
          <w:color w:val="000000"/>
        </w:rPr>
        <w:t xml:space="preserve"> ou au 3</w:t>
      </w:r>
      <w:r>
        <w:rPr>
          <w:rFonts w:ascii="Book Antiqua" w:hAnsi="Book Antiqua" w:cs="Book Antiqua"/>
          <w:color w:val="000000"/>
          <w:vertAlign w:val="superscript"/>
        </w:rPr>
        <w:t>ème</w:t>
      </w:r>
      <w:r>
        <w:rPr>
          <w:rFonts w:ascii="Book Antiqua" w:hAnsi="Book Antiqua" w:cs="Book Antiqua"/>
          <w:color w:val="000000"/>
        </w:rPr>
        <w:t xml:space="preserve"> degré, la norme de maintien (15 janvier) est appliquée, pour la première fois, quand le degré a été complètement mis en œuvre.</w:t>
      </w:r>
    </w:p>
    <w:p>
      <w:pPr>
        <w:spacing w:after="120"/>
        <w:ind w:left="709"/>
        <w:jc w:val="both"/>
        <w:rPr>
          <w:rFonts w:ascii="Book Antiqua" w:hAnsi="Book Antiqua" w:cs="Book Antiqua"/>
          <w:color w:val="000000"/>
        </w:rPr>
      </w:pPr>
      <w:r>
        <w:rPr>
          <w:rFonts w:ascii="Book Antiqua" w:hAnsi="Book Antiqua" w:cs="Book Antiqua"/>
          <w:color w:val="000000"/>
        </w:rPr>
        <w:t>Une option peut être suspendue même si elle ne se trouve pas en situation M1.</w:t>
      </w:r>
    </w:p>
    <w:p>
      <w:pPr>
        <w:tabs>
          <w:tab w:val="left" w:pos="1560"/>
          <w:tab w:val="left" w:pos="7370"/>
        </w:tabs>
        <w:spacing w:before="120" w:after="120"/>
        <w:ind w:left="709"/>
        <w:jc w:val="both"/>
        <w:rPr>
          <w:rFonts w:ascii="Book Antiqua" w:hAnsi="Book Antiqua" w:cs="Book Antiqua"/>
          <w:color w:val="000000"/>
          <w:spacing w:val="-2"/>
          <w:lang w:val="fr-BE"/>
        </w:rPr>
      </w:pPr>
      <w:r>
        <w:rPr>
          <w:rFonts w:ascii="Book Antiqua" w:hAnsi="Book Antiqua" w:cs="Book Antiqua"/>
          <w:color w:val="000000"/>
          <w:spacing w:val="-2"/>
          <w:lang w:val="fr-BE"/>
        </w:rPr>
        <w:t>Aux 2</w:t>
      </w:r>
      <w:r>
        <w:rPr>
          <w:rFonts w:ascii="Book Antiqua" w:hAnsi="Book Antiqua" w:cs="Book Antiqua"/>
          <w:color w:val="000000"/>
          <w:spacing w:val="-2"/>
          <w:vertAlign w:val="superscript"/>
          <w:lang w:val="fr-BE"/>
        </w:rPr>
        <w:t>ème</w:t>
      </w:r>
      <w:r>
        <w:rPr>
          <w:rFonts w:ascii="Book Antiqua" w:hAnsi="Book Antiqua" w:cs="Book Antiqua"/>
          <w:color w:val="000000"/>
          <w:spacing w:val="-2"/>
          <w:lang w:val="fr-BE"/>
        </w:rPr>
        <w:t xml:space="preserve"> et 3</w:t>
      </w:r>
      <w:r>
        <w:rPr>
          <w:rFonts w:ascii="Book Antiqua" w:hAnsi="Book Antiqua" w:cs="Book Antiqua"/>
          <w:color w:val="000000"/>
          <w:spacing w:val="-2"/>
          <w:vertAlign w:val="superscript"/>
          <w:lang w:val="fr-BE"/>
        </w:rPr>
        <w:t>ème</w:t>
      </w:r>
      <w:r>
        <w:rPr>
          <w:rFonts w:ascii="Book Antiqua" w:hAnsi="Book Antiqua" w:cs="Book Antiqua"/>
          <w:color w:val="000000"/>
          <w:spacing w:val="-2"/>
          <w:lang w:val="fr-BE"/>
        </w:rPr>
        <w:t xml:space="preserve"> degrés, une suspension ne peut commencer que dans la première année du degré. Le fait de ne pas organiser dans la seconde année du 2</w:t>
      </w:r>
      <w:r>
        <w:rPr>
          <w:rFonts w:ascii="Book Antiqua" w:hAnsi="Book Antiqua" w:cs="Book Antiqua"/>
          <w:color w:val="000000"/>
          <w:spacing w:val="-2"/>
          <w:vertAlign w:val="superscript"/>
          <w:lang w:val="fr-BE"/>
        </w:rPr>
        <w:t>ème</w:t>
      </w:r>
      <w:r>
        <w:rPr>
          <w:rFonts w:ascii="Book Antiqua" w:hAnsi="Book Antiqua" w:cs="Book Antiqua"/>
          <w:color w:val="000000"/>
          <w:spacing w:val="-2"/>
          <w:lang w:val="fr-BE"/>
        </w:rPr>
        <w:t xml:space="preserve"> ou du 3</w:t>
      </w:r>
      <w:r>
        <w:rPr>
          <w:rFonts w:ascii="Book Antiqua" w:hAnsi="Book Antiqua" w:cs="Book Antiqua"/>
          <w:color w:val="000000"/>
          <w:spacing w:val="-2"/>
          <w:vertAlign w:val="superscript"/>
          <w:lang w:val="fr-BE"/>
        </w:rPr>
        <w:t>ème</w:t>
      </w:r>
      <w:r>
        <w:rPr>
          <w:rFonts w:ascii="Book Antiqua" w:hAnsi="Book Antiqua" w:cs="Book Antiqua"/>
          <w:color w:val="000000"/>
          <w:spacing w:val="-2"/>
          <w:lang w:val="fr-BE"/>
        </w:rPr>
        <w:t xml:space="preserve"> degré une option qui reste organisée dans la première année du degré, ne peut en aucun cas être considéré comme une suspension.</w:t>
      </w:r>
    </w:p>
    <w:p>
      <w:pPr>
        <w:tabs>
          <w:tab w:val="left" w:pos="426"/>
          <w:tab w:val="left" w:pos="7370"/>
        </w:tabs>
        <w:spacing w:after="120"/>
        <w:ind w:left="709" w:right="-1"/>
        <w:jc w:val="both"/>
      </w:pPr>
      <w:r>
        <w:rPr>
          <w:rFonts w:ascii="Book Antiqua" w:hAnsi="Book Antiqua" w:cs="Book Antiqua"/>
          <w:color w:val="000000"/>
          <w:spacing w:val="-2"/>
          <w:lang w:val="fr-BE"/>
        </w:rPr>
        <w:t xml:space="preserve">Lorsqu’une option du plein exercice est simultanément organisée en alternance (« article 49 »), l’élève en alternance est pris en compte de manière égale à un élève du plein exercice. </w:t>
      </w:r>
      <w:r>
        <w:rPr>
          <w:rStyle w:val="Caractresdenotedebasdepage"/>
          <w:rFonts w:ascii="Book Antiqua" w:hAnsi="Book Antiqua" w:cs="Book Antiqua"/>
          <w:color w:val="000000"/>
          <w:spacing w:val="-2"/>
          <w:lang w:val="fr-BE"/>
        </w:rPr>
        <w:footnoteReference w:id="203"/>
      </w:r>
    </w:p>
    <w:p>
      <w:pPr>
        <w:pStyle w:val="niveau4"/>
        <w:ind w:left="709"/>
      </w:pPr>
      <w:bookmarkStart w:id="103" w:name="_Toc522700819"/>
      <w:r>
        <w:t>1. Dérogations</w:t>
      </w:r>
      <w:bookmarkEnd w:id="103"/>
    </w:p>
    <w:p>
      <w:pPr>
        <w:tabs>
          <w:tab w:val="left" w:pos="567"/>
          <w:tab w:val="left" w:pos="7370"/>
        </w:tabs>
        <w:spacing w:before="60" w:after="120"/>
        <w:ind w:left="1276" w:right="-1" w:hanging="567"/>
        <w:jc w:val="both"/>
        <w:rPr>
          <w:rFonts w:ascii="Book Antiqua" w:hAnsi="Book Antiqua" w:cs="Book Antiqua"/>
          <w:color w:val="000000"/>
          <w:spacing w:val="-2"/>
          <w:lang w:val="fr-BE"/>
        </w:rPr>
      </w:pPr>
      <w:r>
        <w:rPr>
          <w:rFonts w:ascii="Book Antiqua" w:hAnsi="Book Antiqua" w:cs="Book Antiqua"/>
          <w:color w:val="000000"/>
          <w:spacing w:val="-2"/>
          <w:lang w:val="fr-BE"/>
        </w:rPr>
        <w:t xml:space="preserve">1. </w:t>
      </w:r>
      <w:r>
        <w:rPr>
          <w:rFonts w:ascii="Book Antiqua" w:hAnsi="Book Antiqua" w:cs="Book Antiqua"/>
          <w:color w:val="000000"/>
          <w:spacing w:val="-2"/>
          <w:lang w:val="fr-BE"/>
        </w:rPr>
        <w:tab/>
        <w:t xml:space="preserve">Sur avis du Conseil général de Concertation, le Gouvernement peut déroger à l'obligation de </w:t>
      </w:r>
      <w:r>
        <w:rPr>
          <w:rFonts w:ascii="Book Antiqua" w:hAnsi="Book Antiqua" w:cs="Book Antiqua"/>
          <w:b/>
          <w:color w:val="000000"/>
          <w:spacing w:val="-2"/>
          <w:lang w:val="fr-BE"/>
        </w:rPr>
        <w:t>fermer une option de base simple ou groupée, une année ou un degré</w:t>
      </w:r>
      <w:r>
        <w:rPr>
          <w:rFonts w:ascii="Book Antiqua" w:hAnsi="Book Antiqua" w:cs="Book Antiqua"/>
          <w:color w:val="000000"/>
          <w:spacing w:val="-2"/>
          <w:lang w:val="fr-BE"/>
        </w:rPr>
        <w:t xml:space="preserve"> qui n'ont pas atteint la norme de maintien pendant deux années scolaires consécutives. </w:t>
      </w:r>
      <w:r>
        <w:rPr>
          <w:rStyle w:val="Caractresdenotedebasdepage"/>
          <w:rFonts w:ascii="Book Antiqua" w:hAnsi="Book Antiqua" w:cs="Book Antiqua"/>
          <w:color w:val="000000"/>
          <w:spacing w:val="-2"/>
          <w:lang w:val="fr-BE"/>
        </w:rPr>
        <w:footnoteReference w:id="204"/>
      </w:r>
    </w:p>
    <w:p>
      <w:pPr>
        <w:tabs>
          <w:tab w:val="left" w:pos="567"/>
          <w:tab w:val="left" w:pos="7370"/>
        </w:tabs>
        <w:spacing w:after="120"/>
        <w:ind w:left="1276" w:right="-1" w:hanging="567"/>
        <w:jc w:val="both"/>
        <w:rPr>
          <w:rFonts w:ascii="Book Antiqua" w:hAnsi="Book Antiqua" w:cs="Book Antiqua"/>
          <w:color w:val="000000"/>
          <w:lang w:val="fr-BE"/>
        </w:rPr>
      </w:pPr>
      <w:r>
        <w:rPr>
          <w:rFonts w:ascii="Book Antiqua" w:hAnsi="Book Antiqua" w:cs="Book Antiqua"/>
          <w:color w:val="000000"/>
          <w:spacing w:val="-2"/>
          <w:lang w:val="fr-BE"/>
        </w:rPr>
        <w:t>2.</w:t>
      </w:r>
      <w:r>
        <w:rPr>
          <w:rFonts w:ascii="Book Antiqua" w:hAnsi="Book Antiqua" w:cs="Book Antiqua"/>
          <w:color w:val="000000"/>
          <w:spacing w:val="-2"/>
          <w:lang w:val="fr-BE"/>
        </w:rPr>
        <w:tab/>
        <w:t xml:space="preserve">L'année d'études, le degré ou l'option ayant fait l'objet de la dérogation n'intervient pas pour l'octroi de l'encadrement minimum de base. </w:t>
      </w:r>
      <w:r>
        <w:rPr>
          <w:rStyle w:val="Caractresdenotedebasdepage"/>
          <w:rFonts w:ascii="Book Antiqua" w:hAnsi="Book Antiqua" w:cs="Book Antiqua"/>
          <w:color w:val="000000"/>
          <w:spacing w:val="-2"/>
          <w:lang w:val="fr-BE"/>
        </w:rPr>
        <w:footnoteReference w:id="205"/>
      </w:r>
    </w:p>
    <w:p>
      <w:pPr>
        <w:tabs>
          <w:tab w:val="left" w:pos="360"/>
          <w:tab w:val="left" w:pos="7370"/>
        </w:tabs>
        <w:spacing w:after="120"/>
        <w:ind w:left="1276"/>
        <w:jc w:val="both"/>
        <w:rPr>
          <w:rFonts w:ascii="Book Antiqua" w:hAnsi="Book Antiqua" w:cs="Book Antiqua"/>
          <w:color w:val="000000"/>
          <w:lang w:val="fr-BE"/>
        </w:rPr>
      </w:pPr>
      <w:r>
        <w:rPr>
          <w:rFonts w:ascii="Book Antiqua" w:hAnsi="Book Antiqua" w:cs="Book Antiqua"/>
          <w:color w:val="000000"/>
          <w:lang w:val="fr-BE"/>
        </w:rPr>
        <w:t>Les options, années ou degrés maintenus suite à une dérogation ne peuvent pas non plus bénéficier de l’encadrement minimum de base sauf pour les établissements dont au moins une implantation bénéficie de l’encadrement différencié.</w:t>
      </w:r>
    </w:p>
    <w:p>
      <w:pPr>
        <w:tabs>
          <w:tab w:val="left" w:pos="567"/>
          <w:tab w:val="left" w:pos="7370"/>
        </w:tabs>
        <w:spacing w:after="120"/>
        <w:ind w:left="1276" w:right="-1" w:hanging="567"/>
        <w:jc w:val="both"/>
        <w:rPr>
          <w:rFonts w:ascii="Book Antiqua" w:hAnsi="Book Antiqua" w:cs="Book Antiqua"/>
          <w:color w:val="000000"/>
          <w:spacing w:val="-2"/>
          <w:lang w:val="fr-BE"/>
        </w:rPr>
      </w:pPr>
      <w:r>
        <w:rPr>
          <w:rFonts w:ascii="Book Antiqua" w:hAnsi="Book Antiqua" w:cs="Book Antiqua"/>
          <w:color w:val="000000"/>
          <w:spacing w:val="-2"/>
          <w:lang w:val="fr-BE"/>
        </w:rPr>
        <w:t>3.</w:t>
      </w:r>
      <w:r>
        <w:rPr>
          <w:rFonts w:ascii="Book Antiqua" w:hAnsi="Book Antiqua" w:cs="Book Antiqua"/>
          <w:color w:val="000000"/>
          <w:spacing w:val="-2"/>
          <w:lang w:val="fr-BE"/>
        </w:rPr>
        <w:tab/>
        <w:t>Les demandes de dérogation seront introduites auprès de la Direction générale de l'enseignement obligatoire sur la base de la circulaire « Demandes de dérogation relatives aux structures et à l’encadrement pour l’année scolaire» mise à jour au mois de janvier qui précède l’année scolaire concernée.</w:t>
      </w:r>
    </w:p>
    <w:p>
      <w:pPr>
        <w:tabs>
          <w:tab w:val="left" w:pos="567"/>
          <w:tab w:val="left" w:pos="7370"/>
        </w:tabs>
        <w:spacing w:after="120"/>
        <w:ind w:left="1276" w:right="-1" w:hanging="567"/>
        <w:jc w:val="both"/>
        <w:rPr>
          <w:rFonts w:ascii="Book Antiqua" w:hAnsi="Book Antiqua" w:cs="Book Antiqua"/>
          <w:color w:val="000000"/>
          <w:spacing w:val="-2"/>
          <w:lang w:val="fr-BE"/>
        </w:rPr>
      </w:pPr>
      <w:r>
        <w:rPr>
          <w:rFonts w:ascii="Book Antiqua" w:hAnsi="Book Antiqua" w:cs="Book Antiqua"/>
          <w:color w:val="000000"/>
          <w:spacing w:val="-2"/>
          <w:lang w:val="fr-BE"/>
        </w:rPr>
        <w:t>4.</w:t>
      </w:r>
      <w:r>
        <w:rPr>
          <w:rFonts w:ascii="Book Antiqua" w:hAnsi="Book Antiqua" w:cs="Book Antiqua"/>
          <w:color w:val="000000"/>
          <w:spacing w:val="-2"/>
          <w:lang w:val="fr-BE"/>
        </w:rPr>
        <w:tab/>
        <w:t>Une option en situation M2 ou en dérogation au 15 janvier 2018, pour laquelle une dérogation a été accordée pour l’année scolaire 2018-2019 ne peut pas être suspendue en 2018-2019. Si cette option n’est pas organisée au 1</w:t>
      </w:r>
      <w:r>
        <w:rPr>
          <w:rFonts w:ascii="Book Antiqua" w:hAnsi="Book Antiqua" w:cs="Book Antiqua"/>
          <w:color w:val="000000"/>
          <w:spacing w:val="-2"/>
          <w:vertAlign w:val="superscript"/>
          <w:lang w:val="fr-BE"/>
        </w:rPr>
        <w:t>er</w:t>
      </w:r>
      <w:r>
        <w:rPr>
          <w:rFonts w:ascii="Book Antiqua" w:hAnsi="Book Antiqua" w:cs="Book Antiqua"/>
          <w:color w:val="000000"/>
          <w:spacing w:val="-2"/>
          <w:lang w:val="fr-BE"/>
        </w:rPr>
        <w:t xml:space="preserve"> octobre 2018, elle est fermée et ne peut donc être réorganisée au 1</w:t>
      </w:r>
      <w:r>
        <w:rPr>
          <w:rFonts w:ascii="Book Antiqua" w:hAnsi="Book Antiqua" w:cs="Book Antiqua"/>
          <w:color w:val="000000"/>
          <w:spacing w:val="-2"/>
          <w:vertAlign w:val="superscript"/>
          <w:lang w:val="fr-BE"/>
        </w:rPr>
        <w:t>er</w:t>
      </w:r>
      <w:r>
        <w:rPr>
          <w:rFonts w:ascii="Book Antiqua" w:hAnsi="Book Antiqua" w:cs="Book Antiqua"/>
          <w:color w:val="000000"/>
          <w:spacing w:val="-2"/>
          <w:lang w:val="fr-BE"/>
        </w:rPr>
        <w:t xml:space="preserve"> septembre 2019 qu’en suivant la procédure de programmation.</w:t>
      </w:r>
    </w:p>
    <w:p>
      <w:pPr>
        <w:tabs>
          <w:tab w:val="left" w:pos="567"/>
          <w:tab w:val="left" w:pos="7370"/>
        </w:tabs>
        <w:spacing w:after="120"/>
        <w:ind w:left="1276" w:right="-1" w:hanging="567"/>
        <w:jc w:val="both"/>
        <w:rPr>
          <w:rFonts w:ascii="Book Antiqua" w:hAnsi="Book Antiqua" w:cs="Book Antiqua"/>
          <w:color w:val="000000"/>
          <w:spacing w:val="-2"/>
          <w:lang w:val="fr-BE"/>
        </w:rPr>
      </w:pPr>
      <w:r>
        <w:rPr>
          <w:rFonts w:ascii="Book Antiqua" w:hAnsi="Book Antiqua" w:cs="Book Antiqua"/>
          <w:color w:val="000000"/>
          <w:spacing w:val="-2"/>
          <w:lang w:val="fr-BE"/>
        </w:rPr>
        <w:t>5.</w:t>
      </w:r>
      <w:r>
        <w:rPr>
          <w:rFonts w:ascii="Book Antiqua" w:hAnsi="Book Antiqua" w:cs="Book Antiqua"/>
          <w:color w:val="000000"/>
          <w:spacing w:val="-2"/>
          <w:lang w:val="fr-BE"/>
        </w:rPr>
        <w:tab/>
        <w:t>Un degré en situation M2 ou en dérogation au 15 janvier 2018, pour lequel une dérogation a été accordée pour l’année scolaire 2018-2019, dont la 1</w:t>
      </w:r>
      <w:r>
        <w:rPr>
          <w:rFonts w:ascii="Book Antiqua" w:hAnsi="Book Antiqua" w:cs="Book Antiqua"/>
          <w:color w:val="000000"/>
          <w:spacing w:val="-2"/>
          <w:vertAlign w:val="superscript"/>
          <w:lang w:val="fr-BE"/>
        </w:rPr>
        <w:t>ère</w:t>
      </w:r>
      <w:r>
        <w:rPr>
          <w:rFonts w:ascii="Book Antiqua" w:hAnsi="Book Antiqua" w:cs="Book Antiqua"/>
          <w:color w:val="000000"/>
          <w:spacing w:val="-2"/>
          <w:lang w:val="fr-BE"/>
        </w:rPr>
        <w:t xml:space="preserve"> année n’est pas organisée en 2018-2019 est fermé, année par année, à partir de l’année scolaire 2018-2019 et ne peut donc être organisé au 1</w:t>
      </w:r>
      <w:r>
        <w:rPr>
          <w:rFonts w:ascii="Book Antiqua" w:hAnsi="Book Antiqua" w:cs="Book Antiqua"/>
          <w:color w:val="000000"/>
          <w:spacing w:val="-2"/>
          <w:vertAlign w:val="superscript"/>
          <w:lang w:val="fr-BE"/>
        </w:rPr>
        <w:t>er</w:t>
      </w:r>
      <w:r>
        <w:rPr>
          <w:rFonts w:ascii="Book Antiqua" w:hAnsi="Book Antiqua" w:cs="Book Antiqua"/>
          <w:color w:val="000000"/>
          <w:spacing w:val="-2"/>
          <w:lang w:val="fr-BE"/>
        </w:rPr>
        <w:t xml:space="preserve"> septembre 2019 qu’en suivant la procédure de programmation.</w:t>
      </w:r>
    </w:p>
    <w:p>
      <w:pPr>
        <w:pStyle w:val="niveau4"/>
        <w:ind w:left="709"/>
      </w:pPr>
      <w:bookmarkStart w:id="104" w:name="_Toc522700820"/>
      <w:r>
        <w:t>2. Remarque</w:t>
      </w:r>
      <w:bookmarkEnd w:id="104"/>
    </w:p>
    <w:p>
      <w:pPr>
        <w:tabs>
          <w:tab w:val="left" w:pos="7370"/>
        </w:tabs>
        <w:spacing w:after="120"/>
        <w:ind w:left="709"/>
        <w:jc w:val="both"/>
        <w:rPr>
          <w:rFonts w:ascii="Book Antiqua" w:hAnsi="Book Antiqua" w:cs="Book Antiqua"/>
          <w:color w:val="000000"/>
          <w:spacing w:val="-2"/>
          <w:lang w:val="fr-BE"/>
        </w:rPr>
      </w:pPr>
      <w:r>
        <w:rPr>
          <w:rFonts w:ascii="Book Antiqua" w:hAnsi="Book Antiqua" w:cs="Book Antiqua"/>
          <w:color w:val="000000"/>
          <w:spacing w:val="-2"/>
          <w:lang w:val="fr-BE"/>
        </w:rPr>
        <w:t>La densité de population indiquée dans les tableaux qui précèdent est celle déterminée au terme du dernier recensement publié au Moniteur belge (M.B. du 1</w:t>
      </w:r>
      <w:r>
        <w:rPr>
          <w:rFonts w:ascii="Book Antiqua" w:hAnsi="Book Antiqua" w:cs="Book Antiqua"/>
          <w:color w:val="000000"/>
          <w:spacing w:val="-2"/>
          <w:vertAlign w:val="superscript"/>
          <w:lang w:val="fr-BE"/>
        </w:rPr>
        <w:t>er</w:t>
      </w:r>
      <w:r>
        <w:rPr>
          <w:rFonts w:ascii="Book Antiqua" w:hAnsi="Book Antiqua" w:cs="Book Antiqua"/>
          <w:color w:val="000000"/>
          <w:spacing w:val="-2"/>
          <w:lang w:val="fr-BE"/>
        </w:rPr>
        <w:t xml:space="preserve"> octobre 2001).</w:t>
      </w:r>
    </w:p>
    <w:p>
      <w:pPr>
        <w:tabs>
          <w:tab w:val="left" w:pos="7370"/>
        </w:tabs>
        <w:spacing w:after="120"/>
        <w:ind w:left="709"/>
        <w:jc w:val="both"/>
        <w:rPr>
          <w:rFonts w:ascii="Book Antiqua" w:hAnsi="Book Antiqua" w:cs="Book Antiqua"/>
          <w:color w:val="000000"/>
          <w:spacing w:val="-2"/>
          <w:lang w:val="fr-BE"/>
        </w:rPr>
      </w:pPr>
    </w:p>
    <w:p/>
    <w:p>
      <w:pPr>
        <w:ind w:left="709"/>
        <w:sectPr>
          <w:footerReference w:type="default" r:id="rId40"/>
          <w:type w:val="oddPage"/>
          <w:pgSz w:w="11906" w:h="16838"/>
          <w:pgMar w:top="1417" w:right="1417" w:bottom="1417" w:left="1417" w:header="708" w:footer="708" w:gutter="0"/>
          <w:cols w:space="720"/>
          <w:docGrid w:linePitch="360"/>
        </w:sectPr>
      </w:pPr>
    </w:p>
    <w:p>
      <w:pPr>
        <w:pStyle w:val="niveau2"/>
        <w:ind w:left="709"/>
        <w:rPr>
          <w:color w:val="000000"/>
        </w:rPr>
      </w:pPr>
      <w:bookmarkStart w:id="105" w:name="_Toc522700821"/>
      <w:r>
        <w:rPr>
          <w:color w:val="000000"/>
        </w:rPr>
        <w:lastRenderedPageBreak/>
        <w:t>CHAPITRE VIII : ENCADREMENT</w:t>
      </w:r>
      <w:bookmarkEnd w:id="105"/>
    </w:p>
    <w:p>
      <w:pPr>
        <w:pStyle w:val="niveau3"/>
        <w:ind w:left="709"/>
        <w:rPr>
          <w:rStyle w:val="niveau3Car"/>
          <w:b/>
          <w:color w:val="000000"/>
        </w:rPr>
      </w:pPr>
      <w:bookmarkStart w:id="106" w:name="_Toc522700822"/>
      <w:r>
        <w:rPr>
          <w:rStyle w:val="niveau3Car"/>
          <w:color w:val="000000"/>
        </w:rPr>
        <w:t xml:space="preserve">I. </w:t>
      </w:r>
      <w:r>
        <w:rPr>
          <w:rStyle w:val="niveau3Car"/>
          <w:b/>
          <w:color w:val="000000"/>
          <w:u w:val="single"/>
        </w:rPr>
        <w:t>POPULATION SCOLAIRE DE REFERENCE</w:t>
      </w:r>
      <w:bookmarkEnd w:id="106"/>
    </w:p>
    <w:p>
      <w:pPr>
        <w:spacing w:before="240" w:after="120"/>
        <w:ind w:left="993"/>
        <w:jc w:val="both"/>
        <w:rPr>
          <w:rFonts w:ascii="Book Antiqua" w:hAnsi="Book Antiqua" w:cs="Book Antiqua"/>
          <w:color w:val="000000"/>
        </w:rPr>
      </w:pPr>
      <w:r>
        <w:rPr>
          <w:rFonts w:ascii="Book Antiqua" w:hAnsi="Book Antiqua" w:cs="Book Antiqua"/>
          <w:color w:val="000000"/>
        </w:rPr>
        <w:t>Le calcul de l’emploi disponible pour les coordonnateurs, pour les accompagnateurs, pour les périodes – professeurs est fixé au 15 janvier précédent, sans recomptage au 1</w:t>
      </w:r>
      <w:r>
        <w:rPr>
          <w:rFonts w:ascii="Book Antiqua" w:hAnsi="Book Antiqua" w:cs="Book Antiqua"/>
          <w:color w:val="000000"/>
          <w:vertAlign w:val="superscript"/>
        </w:rPr>
        <w:t>er</w:t>
      </w:r>
      <w:r>
        <w:rPr>
          <w:rFonts w:ascii="Book Antiqua" w:hAnsi="Book Antiqua" w:cs="Book Antiqua"/>
          <w:color w:val="000000"/>
        </w:rPr>
        <w:t xml:space="preserve"> octobre.</w:t>
      </w:r>
    </w:p>
    <w:p>
      <w:pPr>
        <w:spacing w:after="120"/>
        <w:ind w:left="993"/>
        <w:jc w:val="both"/>
        <w:rPr>
          <w:rFonts w:ascii="Book Antiqua" w:hAnsi="Book Antiqua" w:cs="Book Antiqua"/>
          <w:color w:val="000000"/>
        </w:rPr>
      </w:pPr>
      <w:r>
        <w:rPr>
          <w:rFonts w:ascii="Book Antiqua" w:hAnsi="Book Antiqua" w:cs="Book Antiqua"/>
          <w:color w:val="000000"/>
        </w:rPr>
        <w:t xml:space="preserve">Les calculs sont effectués par l’administration sur base des populations scolaires communiquées par les établissements. </w:t>
      </w:r>
    </w:p>
    <w:p>
      <w:pPr>
        <w:spacing w:after="120"/>
        <w:ind w:left="993"/>
        <w:jc w:val="both"/>
        <w:rPr>
          <w:rFonts w:ascii="Book Antiqua" w:hAnsi="Book Antiqua" w:cs="Book Antiqua"/>
          <w:color w:val="000000"/>
        </w:rPr>
      </w:pPr>
      <w:r>
        <w:rPr>
          <w:rFonts w:ascii="Book Antiqua" w:hAnsi="Book Antiqua" w:cs="Book Antiqua"/>
          <w:color w:val="000000"/>
        </w:rPr>
        <w:t>En ce qui concerne les établissements du Réseau d’enseignement officiel organisé par la</w:t>
      </w:r>
      <w:r>
        <w:rPr>
          <w:rFonts w:ascii="Book Antiqua" w:hAnsi="Book Antiqua" w:cs="Book Antiqua"/>
          <w:color w:val="000000"/>
          <w:spacing w:val="-4"/>
        </w:rPr>
        <w:t xml:space="preserve"> Fédération Wallonie-Bruxelles</w:t>
      </w:r>
      <w:r>
        <w:rPr>
          <w:rFonts w:ascii="Book Antiqua" w:hAnsi="Book Antiqua" w:cs="Book Antiqua"/>
          <w:color w:val="000000"/>
        </w:rPr>
        <w:t>, ils sont opérés sur base des données de l’application SIEL. A partir du 15/01/2019, il en sera de même pour les établissements subventionnés.</w:t>
      </w:r>
    </w:p>
    <w:p>
      <w:pPr>
        <w:spacing w:after="120"/>
        <w:ind w:left="993"/>
        <w:jc w:val="both"/>
        <w:rPr>
          <w:rFonts w:ascii="Book Antiqua" w:hAnsi="Book Antiqua" w:cs="Book Antiqua"/>
          <w:color w:val="000000"/>
          <w:lang w:val="fr-BE"/>
        </w:rPr>
      </w:pPr>
      <w:r>
        <w:rPr>
          <w:rFonts w:ascii="Book Antiqua" w:hAnsi="Book Antiqua" w:cs="Book Antiqua"/>
          <w:color w:val="000000"/>
        </w:rPr>
        <w:t xml:space="preserve">La population scolaire à prendre en considération pour le calcul du NTPP relatif à une année scolaire donnée est constituée exclusivement du nombre d’élèves réguliers inscrits le 15 janvier de l’année scolaire précédente. </w:t>
      </w:r>
      <w:r>
        <w:rPr>
          <w:rStyle w:val="Caractresdenotedebasdepage"/>
          <w:rFonts w:ascii="Book Antiqua" w:hAnsi="Book Antiqua" w:cs="Book Antiqua"/>
          <w:color w:val="000000"/>
        </w:rPr>
        <w:footnoteReference w:id="206"/>
      </w:r>
    </w:p>
    <w:p>
      <w:pPr>
        <w:tabs>
          <w:tab w:val="left" w:pos="426"/>
          <w:tab w:val="left" w:pos="3600"/>
        </w:tabs>
        <w:spacing w:before="120"/>
        <w:ind w:left="993"/>
        <w:jc w:val="both"/>
        <w:rPr>
          <w:rFonts w:ascii="Book Antiqua" w:hAnsi="Book Antiqua" w:cs="Book Antiqua"/>
          <w:color w:val="000000"/>
          <w:u w:val="single"/>
          <w:lang w:val="fr-BE"/>
        </w:rPr>
      </w:pPr>
      <w:r>
        <w:rPr>
          <w:rFonts w:ascii="Book Antiqua" w:hAnsi="Book Antiqua" w:cs="Book Antiqua"/>
          <w:color w:val="000000"/>
          <w:lang w:val="fr-BE"/>
        </w:rPr>
        <w:t>Seuls les élèves réguliers sont pris en considération. La perte du statut d’élève régulier après le 15 janvier n’a pas d’incidence sur sa prise en compte pour le calcul de l’encadrement.</w:t>
      </w:r>
      <w:r>
        <w:rPr>
          <w:rFonts w:ascii="Book Antiqua" w:hAnsi="Book Antiqua" w:cs="Book Antiqua"/>
          <w:color w:val="000000"/>
          <w:u w:val="single"/>
          <w:lang w:val="fr-BE"/>
        </w:rPr>
        <w:t xml:space="preserve"> </w:t>
      </w:r>
    </w:p>
    <w:p>
      <w:pPr>
        <w:tabs>
          <w:tab w:val="left" w:pos="426"/>
          <w:tab w:val="left" w:pos="3600"/>
        </w:tabs>
        <w:spacing w:before="120"/>
        <w:ind w:left="993"/>
        <w:jc w:val="both"/>
        <w:rPr>
          <w:rFonts w:ascii="Book Antiqua" w:hAnsi="Book Antiqua" w:cs="Book Antiqua"/>
          <w:color w:val="000000"/>
          <w:lang w:val="fr-BE"/>
        </w:rPr>
      </w:pPr>
      <w:r>
        <w:rPr>
          <w:rFonts w:ascii="Book Antiqua" w:hAnsi="Book Antiqua" w:cs="Book Antiqua"/>
          <w:color w:val="000000"/>
          <w:lang w:val="fr-BE"/>
        </w:rPr>
        <w:t xml:space="preserve">Soulignons que n’est plus considéré comme élève régulier au 15 janvier de l’année scolaire précédente dans l’établissement qui l’a exclu, l’élève qui fait l’objet d’une décision d’exclusion définitive à un moment quelconque de cette année, mais bien dans celui qui, le cas échéant, l’accueille après cette décision, </w:t>
      </w:r>
      <w:r>
        <w:rPr>
          <w:rFonts w:ascii="Book Antiqua" w:hAnsi="Book Antiqua" w:cs="Book Antiqua"/>
          <w:lang w:val="fr-BE"/>
        </w:rPr>
        <w:t>pour autant que les démarches administratives aient été remplies</w:t>
      </w:r>
      <w:r>
        <w:rPr>
          <w:rFonts w:ascii="Book Antiqua" w:hAnsi="Book Antiqua" w:cs="Book Antiqua"/>
          <w:color w:val="000000"/>
          <w:lang w:val="fr-BE"/>
        </w:rPr>
        <w:t xml:space="preserve">. </w:t>
      </w:r>
      <w:r>
        <w:rPr>
          <w:rStyle w:val="Caractresdenotedebasdepage"/>
          <w:rFonts w:ascii="Book Antiqua" w:hAnsi="Book Antiqua" w:cs="Book Antiqua"/>
          <w:color w:val="000000"/>
          <w:lang w:val="fr-BE"/>
        </w:rPr>
        <w:footnoteReference w:id="207"/>
      </w:r>
      <w:r>
        <w:rPr>
          <w:rFonts w:ascii="Book Antiqua" w:hAnsi="Book Antiqua" w:cs="Book Antiqua"/>
          <w:color w:val="000000"/>
          <w:lang w:val="fr-BE"/>
        </w:rPr>
        <w:t xml:space="preserve"> </w:t>
      </w:r>
    </w:p>
    <w:p>
      <w:pPr>
        <w:tabs>
          <w:tab w:val="left" w:pos="426"/>
          <w:tab w:val="left" w:pos="3600"/>
        </w:tabs>
        <w:spacing w:before="120"/>
        <w:ind w:left="993"/>
        <w:jc w:val="both"/>
        <w:rPr>
          <w:rFonts w:ascii="Book Antiqua" w:hAnsi="Book Antiqua" w:cs="Book Antiqua"/>
          <w:color w:val="000000"/>
        </w:rPr>
      </w:pPr>
      <w:r>
        <w:rPr>
          <w:rFonts w:ascii="Book Antiqua" w:hAnsi="Book Antiqua" w:cs="Book Antiqua"/>
          <w:color w:val="000000"/>
          <w:lang w:val="fr-BE"/>
        </w:rPr>
        <w:t>Pour plus d’information sur ce point, il convient de consulter la circulaire n°</w:t>
      </w:r>
      <w:r>
        <w:rPr>
          <w:rFonts w:ascii="Book Antiqua" w:hAnsi="Book Antiqua" w:cs="Book Antiqua"/>
          <w:color w:val="000000"/>
        </w:rPr>
        <w:t>2020 du 6 septembre 2007 « Prise en compte des élèves exclus pour la définition du montant des dotations ou subventions et de l’encadrement ».</w:t>
      </w:r>
    </w:p>
    <w:p>
      <w:pPr>
        <w:tabs>
          <w:tab w:val="left" w:pos="426"/>
          <w:tab w:val="left" w:pos="3600"/>
        </w:tabs>
        <w:spacing w:before="120"/>
        <w:ind w:left="993"/>
        <w:jc w:val="both"/>
        <w:rPr>
          <w:rFonts w:ascii="Book Antiqua" w:hAnsi="Book Antiqua" w:cs="Book Antiqua"/>
          <w:color w:val="000000"/>
        </w:rPr>
      </w:pPr>
      <w:r>
        <w:rPr>
          <w:rFonts w:ascii="Book Antiqua" w:hAnsi="Book Antiqua"/>
          <w:lang w:val="fr-BE"/>
        </w:rPr>
        <w:t xml:space="preserve">Notons toutefois que l’établissement qui n’a pas informé l’Administration </w:t>
      </w:r>
      <w:r>
        <w:rPr>
          <w:rFonts w:ascii="Book Antiqua" w:hAnsi="Book Antiqua"/>
          <w:b/>
          <w:u w:val="single"/>
          <w:lang w:val="fr-BE"/>
        </w:rPr>
        <w:t>avant le 15 juillet</w:t>
      </w:r>
      <w:r>
        <w:rPr>
          <w:rFonts w:ascii="Book Antiqua" w:hAnsi="Book Antiqua"/>
          <w:lang w:val="fr-BE"/>
        </w:rPr>
        <w:t xml:space="preserve"> de l’accueil d’un élève exclu après le 15 janvier en perd le bénéfice pour le calcul du NTPP et des périodes complémentaires éventuelles basées sur la population du 15 janvier.</w:t>
      </w:r>
    </w:p>
    <w:p>
      <w:pPr>
        <w:pStyle w:val="Corpsdetexte"/>
        <w:tabs>
          <w:tab w:val="left" w:pos="426"/>
          <w:tab w:val="left" w:pos="3600"/>
        </w:tabs>
        <w:spacing w:before="120"/>
        <w:ind w:left="993"/>
        <w:rPr>
          <w:rFonts w:ascii="Book Antiqua" w:hAnsi="Book Antiqua" w:cs="Book Antiqua"/>
          <w:color w:val="000000"/>
          <w:sz w:val="20"/>
          <w:lang w:val="fr-BE"/>
        </w:rPr>
      </w:pPr>
      <w:r>
        <w:rPr>
          <w:rFonts w:ascii="Book Antiqua" w:hAnsi="Book Antiqua" w:cs="Book Antiqua"/>
          <w:color w:val="000000"/>
          <w:sz w:val="20"/>
          <w:lang w:val="fr-BE"/>
        </w:rPr>
        <w:t xml:space="preserve">A partir du deuxième degré de l’enseignement secondaire, l’élève qui compte, au cours d’une même année scolaire, plus de 20 demi-jours d’absence injustifiée perd la qualité d’élève régulier sauf dérogation accordée par la Ministre en raison de circonstances exceptionnelles. </w:t>
      </w:r>
      <w:r>
        <w:rPr>
          <w:rStyle w:val="Caractresdenotedebasdepage"/>
          <w:rFonts w:ascii="Book Antiqua" w:hAnsi="Book Antiqua" w:cs="Book Antiqua"/>
          <w:color w:val="000000"/>
          <w:sz w:val="20"/>
          <w:lang w:val="fr-BE"/>
        </w:rPr>
        <w:footnoteReference w:id="208"/>
      </w:r>
    </w:p>
    <w:p>
      <w:pPr>
        <w:pStyle w:val="Corpsdetexte"/>
        <w:tabs>
          <w:tab w:val="left" w:pos="426"/>
          <w:tab w:val="left" w:pos="3600"/>
        </w:tabs>
        <w:spacing w:before="120"/>
        <w:ind w:left="993"/>
        <w:rPr>
          <w:rFonts w:ascii="Book Antiqua" w:hAnsi="Book Antiqua" w:cs="Book Antiqua"/>
          <w:color w:val="000000"/>
          <w:sz w:val="20"/>
          <w:lang w:val="fr-BE"/>
        </w:rPr>
      </w:pPr>
      <w:r>
        <w:rPr>
          <w:rFonts w:ascii="Book Antiqua" w:hAnsi="Book Antiqua" w:cs="Book Antiqua"/>
          <w:color w:val="000000"/>
          <w:sz w:val="20"/>
          <w:lang w:val="fr-BE"/>
        </w:rPr>
        <w:t>Les élèves mineurs séjournant illégalement en Belgique sont comptabilisés aux mêmes conditions que les autres élèves.</w:t>
      </w:r>
      <w:r>
        <w:rPr>
          <w:rStyle w:val="Caractresdenotedebasdepage"/>
          <w:rFonts w:ascii="Book Antiqua" w:hAnsi="Book Antiqua" w:cs="Book Antiqua"/>
          <w:color w:val="000000"/>
          <w:sz w:val="20"/>
          <w:lang w:val="fr-BE"/>
        </w:rPr>
        <w:footnoteReference w:id="209"/>
      </w:r>
    </w:p>
    <w:p>
      <w:pPr>
        <w:pStyle w:val="Corpsdetexte"/>
        <w:tabs>
          <w:tab w:val="left" w:pos="426"/>
          <w:tab w:val="left" w:pos="3600"/>
        </w:tabs>
        <w:spacing w:before="120"/>
        <w:ind w:left="993"/>
        <w:rPr>
          <w:rFonts w:ascii="Book Antiqua" w:hAnsi="Book Antiqua" w:cs="Book Antiqua"/>
          <w:color w:val="000000"/>
          <w:sz w:val="20"/>
          <w:lang w:val="fr-BE"/>
        </w:rPr>
      </w:pPr>
    </w:p>
    <w:p>
      <w:pPr>
        <w:pStyle w:val="Corpsdetexte"/>
        <w:tabs>
          <w:tab w:val="left" w:pos="426"/>
          <w:tab w:val="left" w:pos="3600"/>
        </w:tabs>
        <w:spacing w:before="120"/>
        <w:ind w:left="993"/>
        <w:rPr>
          <w:rFonts w:ascii="Book Antiqua" w:hAnsi="Book Antiqua" w:cs="Book Antiqua"/>
          <w:color w:val="000000"/>
          <w:sz w:val="20"/>
          <w:lang w:val="fr-BE"/>
        </w:rPr>
      </w:pPr>
      <w:r>
        <w:rPr>
          <w:rFonts w:ascii="Book Antiqua" w:hAnsi="Book Antiqua" w:cs="Book Antiqua"/>
          <w:color w:val="000000"/>
          <w:sz w:val="20"/>
          <w:lang w:val="fr-BE"/>
        </w:rPr>
        <w:t>Pour le calcul des moyens d’encadrement, les élèves sont répartis en différentes catégories.</w:t>
      </w:r>
    </w:p>
    <w:p>
      <w:pPr>
        <w:ind w:left="993"/>
        <w:rPr>
          <w:rFonts w:ascii="Book Antiqua" w:hAnsi="Book Antiqua"/>
        </w:rPr>
      </w:pPr>
      <w:r>
        <w:rPr>
          <w:rFonts w:ascii="Book Antiqua" w:hAnsi="Book Antiqua"/>
        </w:rPr>
        <w:t>Au 15/01, il y a lieu de distinguer :</w:t>
      </w:r>
    </w:p>
    <w:p>
      <w:pPr>
        <w:ind w:left="993"/>
        <w:rPr>
          <w:rFonts w:ascii="Book Antiqua" w:hAnsi="Book Antiqua"/>
        </w:rPr>
      </w:pPr>
      <w:r>
        <w:rPr>
          <w:rFonts w:ascii="Book Antiqua" w:hAnsi="Book Antiqua"/>
        </w:rPr>
        <w:t>- les élèves qui sont soumis à l'obligation scolaire. Il s'agit des élèves qui atteindront leurs 18 ans après le 31/12. Ces élèves devront être répartis dans les catégories 1 et 2.</w:t>
      </w:r>
    </w:p>
    <w:p>
      <w:pPr>
        <w:ind w:left="993"/>
        <w:rPr>
          <w:rFonts w:ascii="Book Antiqua" w:hAnsi="Book Antiqua"/>
        </w:rPr>
      </w:pPr>
      <w:r>
        <w:rPr>
          <w:rFonts w:ascii="Book Antiqua" w:hAnsi="Book Antiqua"/>
        </w:rPr>
        <w:lastRenderedPageBreak/>
        <w:t>- les élèves qui ne sont plus soumis à l'obligation scolaire et qui n'ont pas encore 21 ans. Il s'agit des élèves qui ont atteint leurs 18 ans avant le 01/01 mais qui n'ont pas atteint 21 ans au 01/01. Ces élèves seront répartis dans les catégories 3 à 6.</w:t>
      </w:r>
    </w:p>
    <w:p>
      <w:pPr>
        <w:ind w:left="993"/>
        <w:rPr>
          <w:rFonts w:ascii="Book Antiqua" w:hAnsi="Book Antiqua"/>
        </w:rPr>
      </w:pPr>
      <w:r>
        <w:rPr>
          <w:rFonts w:ascii="Book Antiqua" w:hAnsi="Book Antiqua"/>
        </w:rPr>
        <w:t>- les élèves qui ne sont plus soumis à l'obligation scolaire et qui ont 21 ans. Il s'agit des élèves qui ont atteint 21 ans avant le 01/01. Ces élèves seront répartis dans les catégories 7 à 8.</w:t>
      </w:r>
    </w:p>
    <w:p>
      <w:pPr>
        <w:ind w:left="993"/>
        <w:rPr>
          <w:rFonts w:ascii="Book Antiqua" w:hAnsi="Book Antiqua"/>
        </w:rPr>
      </w:pPr>
    </w:p>
    <w:p>
      <w:pPr>
        <w:ind w:left="993"/>
        <w:rPr>
          <w:rFonts w:ascii="Book Antiqua" w:hAnsi="Book Antiqua"/>
        </w:rPr>
      </w:pPr>
      <w:r>
        <w:rPr>
          <w:rFonts w:ascii="Book Antiqua" w:hAnsi="Book Antiqua"/>
        </w:rPr>
        <w:t>Dans les catégories 3 à 6, il faut ensuite distinguer :</w:t>
      </w:r>
    </w:p>
    <w:p>
      <w:pPr>
        <w:ind w:left="993"/>
        <w:rPr>
          <w:rFonts w:ascii="Book Antiqua" w:hAnsi="Book Antiqua"/>
        </w:rPr>
      </w:pPr>
      <w:r>
        <w:rPr>
          <w:rFonts w:ascii="Book Antiqua" w:hAnsi="Book Antiqua"/>
        </w:rPr>
        <w:t>- les élèves dont la date d'inscription en alternance est &lt;= 01/10 et qui ont un stage &gt;= 600 périodes. Ces élèves seront associés à la catégorie 3.</w:t>
      </w:r>
      <w:r>
        <w:rPr>
          <w:rFonts w:ascii="Book Antiqua" w:hAnsi="Book Antiqua"/>
        </w:rPr>
        <w:br/>
        <w:t>- les élèves dont la date d'inscription en alternance est &lt;= 01/10 et qui ont un stage &lt; 600 périodes. Ces élèves seront associés à la catégorie 4.</w:t>
      </w:r>
    </w:p>
    <w:p>
      <w:pPr>
        <w:ind w:left="993"/>
        <w:rPr>
          <w:rFonts w:ascii="Book Antiqua" w:hAnsi="Book Antiqua"/>
        </w:rPr>
      </w:pPr>
      <w:r>
        <w:rPr>
          <w:rFonts w:ascii="Book Antiqua" w:hAnsi="Book Antiqua"/>
        </w:rPr>
        <w:t>- les élèves dont la date d'inscription en alternance est &gt; 01/10 et qui ont un stage &gt;= 600 périodes. Ces élèves seront associés à la catégorie 5.</w:t>
      </w:r>
      <w:r>
        <w:rPr>
          <w:rFonts w:ascii="Book Antiqua" w:hAnsi="Book Antiqua"/>
        </w:rPr>
        <w:br/>
        <w:t>- les élèves dont la date d'inscription en alternance est &gt; 01/10 et qui ont un stage &lt; 600 périodes. Ces élèves seront associés à la catégorie 6.</w:t>
      </w:r>
    </w:p>
    <w:p>
      <w:pPr>
        <w:ind w:left="993"/>
        <w:rPr>
          <w:rFonts w:ascii="Book Antiqua" w:hAnsi="Book Antiqua"/>
        </w:rPr>
      </w:pPr>
    </w:p>
    <w:p>
      <w:pPr>
        <w:ind w:left="993"/>
        <w:rPr>
          <w:rFonts w:ascii="Book Antiqua" w:hAnsi="Book Antiqua"/>
        </w:rPr>
      </w:pPr>
      <w:r>
        <w:rPr>
          <w:rFonts w:ascii="Book Antiqua" w:hAnsi="Book Antiqua"/>
        </w:rPr>
        <w:t>Dans les catégories 7 à 8, il faut encore distinguer :</w:t>
      </w:r>
    </w:p>
    <w:p>
      <w:pPr>
        <w:ind w:left="993"/>
        <w:rPr>
          <w:rFonts w:ascii="Book Antiqua" w:hAnsi="Book Antiqua"/>
        </w:rPr>
      </w:pPr>
      <w:r>
        <w:rPr>
          <w:rFonts w:ascii="Book Antiqua" w:hAnsi="Book Antiqua"/>
        </w:rPr>
        <w:t>- les élèves qui ont un stage &gt;= 600 périodes. Ces élèves seront associés à la catégorie 7.</w:t>
      </w:r>
      <w:r>
        <w:rPr>
          <w:rFonts w:ascii="Book Antiqua" w:hAnsi="Book Antiqua"/>
        </w:rPr>
        <w:br/>
        <w:t>- les élèves qui ont un stage &lt; 600 périodes. Ces élèves seront associés à la catégorie 8.</w:t>
      </w:r>
    </w:p>
    <w:p>
      <w:pPr>
        <w:pStyle w:val="Corpsdetexte"/>
        <w:tabs>
          <w:tab w:val="left" w:pos="426"/>
          <w:tab w:val="left" w:pos="3600"/>
        </w:tabs>
        <w:spacing w:before="120"/>
        <w:ind w:left="993"/>
        <w:rPr>
          <w:rFonts w:ascii="Book Antiqua" w:hAnsi="Book Antiqua" w:cs="Book Antiqua"/>
          <w:color w:val="000000"/>
          <w:lang w:val="fr-BE"/>
        </w:rPr>
      </w:pP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Le centre de formation en alternance transmet, à l’administration, pour le 1</w:t>
      </w:r>
      <w:r>
        <w:rPr>
          <w:rFonts w:ascii="Book Antiqua" w:hAnsi="Book Antiqua" w:cs="Book Antiqua"/>
          <w:color w:val="000000"/>
          <w:vertAlign w:val="superscript"/>
        </w:rPr>
        <w:t>er</w:t>
      </w:r>
      <w:r>
        <w:rPr>
          <w:rFonts w:ascii="Book Antiqua" w:hAnsi="Book Antiqua" w:cs="Book Antiqua"/>
          <w:color w:val="000000"/>
        </w:rPr>
        <w:t xml:space="preserve"> octobre la liste des formations organisées </w:t>
      </w:r>
      <w:r>
        <w:rPr>
          <w:rFonts w:ascii="Book Antiqua" w:hAnsi="Book Antiqua" w:cs="Book Antiqua"/>
          <w:color w:val="000000"/>
          <w:u w:val="single"/>
        </w:rPr>
        <w:t>dans l’enseignement spécialisé en alternance</w:t>
      </w:r>
      <w:r>
        <w:rPr>
          <w:rFonts w:ascii="Book Antiqua" w:hAnsi="Book Antiqua" w:cs="Book Antiqua"/>
          <w:color w:val="000000"/>
        </w:rPr>
        <w:t xml:space="preserve"> à cette date, ainsi que la liste des élèves qui y sont inscrits au 1</w:t>
      </w:r>
      <w:r>
        <w:rPr>
          <w:rFonts w:ascii="Book Antiqua" w:hAnsi="Book Antiqua" w:cs="Book Antiqua"/>
          <w:color w:val="000000"/>
          <w:vertAlign w:val="superscript"/>
        </w:rPr>
        <w:t>er</w:t>
      </w:r>
      <w:r>
        <w:rPr>
          <w:rFonts w:ascii="Book Antiqua" w:hAnsi="Book Antiqua" w:cs="Book Antiqua"/>
          <w:color w:val="000000"/>
        </w:rPr>
        <w:t xml:space="preserve"> octobre. </w:t>
      </w: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 xml:space="preserve">En date du 15 janvier,  le centre de formation en alternance transmet, à l’administration, une liste mise à jour des formations organisées </w:t>
      </w:r>
      <w:r>
        <w:rPr>
          <w:rFonts w:ascii="Book Antiqua" w:hAnsi="Book Antiqua" w:cs="Book Antiqua"/>
          <w:color w:val="000000"/>
          <w:u w:val="single"/>
        </w:rPr>
        <w:t>dans l’enseignement spécialisé en alternance</w:t>
      </w:r>
      <w:r>
        <w:rPr>
          <w:rFonts w:ascii="Book Antiqua" w:hAnsi="Book Antiqua" w:cs="Book Antiqua"/>
          <w:color w:val="000000"/>
        </w:rPr>
        <w:t xml:space="preserve"> à cette date, ainsi que la liste des élèves qui y sont inscrits au 15 janvier. </w:t>
      </w: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Il transmettra également toute modification en cours d’année de cette liste des élèves au service de vérification de la population scolaire.</w:t>
      </w: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Il avertit immédiatement l’administration et l’inspecteur coordonnateur de l’enseignement spécialisé, en cours d’année, de toute modification de la liste des formations et des élèves.</w:t>
      </w:r>
      <w:r>
        <w:rPr>
          <w:rStyle w:val="Caractresdenotedebasdepage"/>
          <w:rFonts w:ascii="Book Antiqua" w:hAnsi="Book Antiqua" w:cs="Book Antiqua"/>
          <w:color w:val="000000"/>
        </w:rPr>
        <w:footnoteReference w:id="210"/>
      </w: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Lorsqu’un établissement de plein exercice devient coopérant d’un autre CEFA, les élèves inscrits au 15 janvier de l’année scolaire précédente dans cet établissement coopérant sont soustraits du calcul relatif au CEFA avec lequel il a été mis fin à la coopération et ajoutés dans le calcul relatif au CEFA avec lequel la coopération a été actée ou autorisée, selon le cas</w:t>
      </w:r>
      <w:r>
        <w:rPr>
          <w:rStyle w:val="Appelnotedebasdep"/>
          <w:rFonts w:ascii="Book Antiqua" w:hAnsi="Book Antiqua"/>
          <w:color w:val="000000"/>
        </w:rPr>
        <w:footnoteReference w:id="211"/>
      </w:r>
      <w:r>
        <w:rPr>
          <w:rFonts w:ascii="Book Antiqua" w:hAnsi="Book Antiqua" w:cs="Book Antiqua"/>
          <w:color w:val="000000"/>
        </w:rPr>
        <w:t>.</w:t>
      </w:r>
    </w:p>
    <w:p>
      <w:pPr>
        <w:pStyle w:val="CircDirN5"/>
        <w:pBdr>
          <w:top w:val="single" w:sz="4" w:space="1" w:color="auto"/>
          <w:left w:val="single" w:sz="4" w:space="4" w:color="auto"/>
          <w:bottom w:val="single" w:sz="4" w:space="1" w:color="auto"/>
          <w:right w:val="single" w:sz="4" w:space="4" w:color="auto"/>
        </w:pBdr>
        <w:tabs>
          <w:tab w:val="clear" w:pos="360"/>
          <w:tab w:val="num" w:pos="1428"/>
        </w:tabs>
        <w:rPr>
          <w:lang w:val="fr-BE"/>
        </w:rPr>
      </w:pPr>
      <w:r>
        <w:rPr>
          <w:lang w:val="fr-BE"/>
        </w:rPr>
        <w:t>Dans le cadre du comptage des élèves, toute demande de régularisation postérieure au 15 juillet de l’année considérée ne pourra être prise en compte par l’Administration.</w:t>
      </w:r>
    </w:p>
    <w:p>
      <w:pPr>
        <w:tabs>
          <w:tab w:val="left" w:pos="2268"/>
        </w:tabs>
        <w:spacing w:after="240"/>
        <w:ind w:left="993"/>
        <w:jc w:val="both"/>
        <w:rPr>
          <w:rStyle w:val="niveau3Car"/>
          <w:color w:val="000000"/>
        </w:rPr>
      </w:pPr>
    </w:p>
    <w:p>
      <w:pPr>
        <w:pStyle w:val="niveau3"/>
        <w:ind w:left="709"/>
        <w:rPr>
          <w:rStyle w:val="niveau3Car"/>
          <w:color w:val="000000"/>
          <w:u w:val="single"/>
        </w:rPr>
      </w:pPr>
      <w:r>
        <w:rPr>
          <w:rStyle w:val="niveau3Car"/>
          <w:color w:val="000000"/>
        </w:rPr>
        <w:br w:type="page"/>
      </w:r>
      <w:bookmarkStart w:id="107" w:name="_Toc522700823"/>
      <w:r>
        <w:rPr>
          <w:rStyle w:val="niveau3Car"/>
          <w:color w:val="000000"/>
        </w:rPr>
        <w:lastRenderedPageBreak/>
        <w:t xml:space="preserve">II. </w:t>
      </w:r>
      <w:r>
        <w:rPr>
          <w:rStyle w:val="niveau3Car"/>
          <w:b/>
          <w:color w:val="000000"/>
          <w:u w:val="single"/>
        </w:rPr>
        <w:t>LA CHARGE DE COORDONNATEUR</w:t>
      </w:r>
      <w:bookmarkEnd w:id="107"/>
    </w:p>
    <w:p>
      <w:pPr>
        <w:pStyle w:val="Document1"/>
        <w:keepNext w:val="0"/>
        <w:keepLines w:val="0"/>
        <w:suppressAutoHyphens w:val="0"/>
        <w:spacing w:before="240" w:after="60"/>
        <w:ind w:left="993"/>
        <w:jc w:val="both"/>
        <w:rPr>
          <w:rFonts w:ascii="Book Antiqua" w:hAnsi="Book Antiqua" w:cs="Book Antiqua"/>
          <w:color w:val="000000"/>
          <w:lang w:val="fr-FR"/>
        </w:rPr>
      </w:pPr>
      <w:r>
        <w:rPr>
          <w:rFonts w:ascii="Book Antiqua" w:hAnsi="Book Antiqua" w:cs="Book Antiqua"/>
          <w:color w:val="000000"/>
          <w:sz w:val="20"/>
          <w:szCs w:val="20"/>
          <w:lang w:val="fr-FR"/>
        </w:rPr>
        <w:t xml:space="preserve">Une charge par CEFA est attribuée : </w:t>
      </w:r>
      <w:r>
        <w:rPr>
          <w:rStyle w:val="Caractresdenotedebasdepage"/>
          <w:rFonts w:ascii="Book Antiqua" w:hAnsi="Book Antiqua" w:cs="Book Antiqua"/>
          <w:color w:val="000000"/>
          <w:sz w:val="20"/>
          <w:szCs w:val="20"/>
          <w:lang w:val="fr-FR"/>
        </w:rPr>
        <w:footnoteReference w:id="212"/>
      </w:r>
    </w:p>
    <w:p>
      <w:pPr>
        <w:numPr>
          <w:ilvl w:val="0"/>
          <w:numId w:val="24"/>
        </w:numPr>
        <w:tabs>
          <w:tab w:val="clear" w:pos="360"/>
          <w:tab w:val="left" w:pos="644"/>
          <w:tab w:val="num" w:pos="1069"/>
        </w:tabs>
        <w:spacing w:after="60"/>
        <w:ind w:left="1353" w:firstLine="0"/>
        <w:jc w:val="both"/>
        <w:rPr>
          <w:rFonts w:ascii="Book Antiqua" w:hAnsi="Book Antiqua" w:cs="Book Antiqua"/>
          <w:color w:val="000000"/>
        </w:rPr>
      </w:pPr>
      <w:r>
        <w:rPr>
          <w:rFonts w:ascii="Book Antiqua" w:hAnsi="Book Antiqua" w:cs="Book Antiqua"/>
          <w:color w:val="000000"/>
        </w:rPr>
        <w:t>à prestation complète lorsque le CEFA compte au moins 56 élèves régulièrement inscrits ;</w:t>
      </w:r>
    </w:p>
    <w:p>
      <w:pPr>
        <w:numPr>
          <w:ilvl w:val="0"/>
          <w:numId w:val="24"/>
        </w:numPr>
        <w:tabs>
          <w:tab w:val="clear" w:pos="360"/>
          <w:tab w:val="left" w:pos="644"/>
          <w:tab w:val="num" w:pos="1069"/>
        </w:tabs>
        <w:spacing w:after="60"/>
        <w:ind w:left="1353" w:firstLine="0"/>
        <w:jc w:val="both"/>
        <w:rPr>
          <w:rFonts w:ascii="Book Antiqua" w:hAnsi="Book Antiqua" w:cs="Book Antiqua"/>
          <w:color w:val="000000"/>
        </w:rPr>
      </w:pPr>
      <w:r>
        <w:rPr>
          <w:rFonts w:ascii="Book Antiqua" w:hAnsi="Book Antiqua" w:cs="Book Antiqua"/>
          <w:color w:val="000000"/>
        </w:rPr>
        <w:t>à quart, demi ou trois quarts temps lorsque le CEFA compte moins de 24 élèves, moins de 40 élèves ou moins de 56 élèves.</w:t>
      </w:r>
    </w:p>
    <w:p>
      <w:pPr>
        <w:ind w:left="1418" w:hanging="425"/>
        <w:jc w:val="both"/>
      </w:pPr>
      <w:r>
        <w:rPr>
          <w:rFonts w:ascii="Book Antiqua" w:hAnsi="Book Antiqua" w:cs="Book Antiqua"/>
          <w:b/>
          <w:color w:val="000000"/>
        </w:rPr>
        <w:t>NB </w:t>
      </w:r>
      <w:r>
        <w:rPr>
          <w:rFonts w:ascii="Book Antiqua" w:hAnsi="Book Antiqua" w:cs="Book Antiqua"/>
          <w:color w:val="000000"/>
        </w:rPr>
        <w:t xml:space="preserve">: Lorsque le nombre d’élèves du CEFA ne permet pas d’obtenir un emploi de coordonnateur à prestation complète, les périodes d’accompagnement sont d’abord utilisées pour compléter cette charge. Ces périodes font partie de la charge de coordonnateur et sont rémunérées comme telles. </w:t>
      </w:r>
      <w:r>
        <w:rPr>
          <w:rStyle w:val="Caractresdenotedebasdepage"/>
          <w:rFonts w:ascii="Book Antiqua" w:hAnsi="Book Antiqua" w:cs="Book Antiqua"/>
          <w:color w:val="000000"/>
        </w:rPr>
        <w:footnoteReference w:id="213"/>
      </w:r>
    </w:p>
    <w:p>
      <w:pPr>
        <w:pStyle w:val="niveau4"/>
        <w:ind w:left="709"/>
        <w:rPr>
          <w:rFonts w:cs="Book Antiqua"/>
          <w:color w:val="000000"/>
        </w:rPr>
      </w:pPr>
      <w:bookmarkStart w:id="108" w:name="_Toc522700824"/>
      <w:r>
        <w:t>1. Rôle du coordonnateur</w:t>
      </w:r>
      <w:r>
        <w:rPr>
          <w:u w:val="none"/>
        </w:rPr>
        <w:t xml:space="preserve"> </w:t>
      </w:r>
      <w:r>
        <w:rPr>
          <w:rStyle w:val="Caractresdenotedebasdepage"/>
          <w:color w:val="000000"/>
          <w:u w:val="none"/>
        </w:rPr>
        <w:footnoteReference w:id="214"/>
      </w:r>
      <w:bookmarkEnd w:id="108"/>
    </w:p>
    <w:p>
      <w:pPr>
        <w:spacing w:after="120"/>
        <w:ind w:left="1417"/>
        <w:jc w:val="both"/>
        <w:rPr>
          <w:rFonts w:ascii="Book Antiqua" w:hAnsi="Book Antiqua" w:cs="Book Antiqua"/>
          <w:color w:val="000000"/>
        </w:rPr>
      </w:pPr>
      <w:r>
        <w:rPr>
          <w:rFonts w:ascii="Book Antiqua" w:hAnsi="Book Antiqua" w:cs="Book Antiqua"/>
          <w:color w:val="000000"/>
        </w:rPr>
        <w:t>Le coordonnateur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planifie et assure le suivi des formations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assure la guidance globale des élèves en collaboration avec le centre psycho-médico-social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établit et entretient les contacts avec les milieux socio-économiques locaux et régionaux, les associations professionnelles et tout organisme pouvant contribuer au développement social et culturel de l’élève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anime l’équipe des accompagnateurs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répartit les tâches entre les accompagnateurs et organise leurs interventions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préside, alternativement, le conseil zonal de l’alternance ;</w:t>
      </w:r>
    </w:p>
    <w:p>
      <w:pPr>
        <w:numPr>
          <w:ilvl w:val="0"/>
          <w:numId w:val="14"/>
        </w:numPr>
        <w:tabs>
          <w:tab w:val="clear" w:pos="360"/>
          <w:tab w:val="num" w:pos="1069"/>
        </w:tabs>
        <w:ind w:left="1777"/>
        <w:jc w:val="both"/>
        <w:rPr>
          <w:rFonts w:ascii="Book Antiqua" w:hAnsi="Book Antiqua" w:cs="Book Antiqua"/>
          <w:color w:val="000000"/>
        </w:rPr>
      </w:pPr>
      <w:r>
        <w:rPr>
          <w:rFonts w:ascii="Book Antiqua" w:hAnsi="Book Antiqua" w:cs="Book Antiqua"/>
          <w:color w:val="000000"/>
        </w:rPr>
        <w:t>supplée le président du conseil de direction s’il est absent.</w:t>
      </w:r>
    </w:p>
    <w:p>
      <w:pPr>
        <w:pBdr>
          <w:top w:val="single" w:sz="4" w:space="1" w:color="000000"/>
          <w:left w:val="single" w:sz="4" w:space="4" w:color="000000"/>
          <w:bottom w:val="single" w:sz="4" w:space="1" w:color="000000"/>
          <w:right w:val="single" w:sz="4" w:space="4" w:color="000000"/>
        </w:pBdr>
        <w:spacing w:before="120" w:after="120"/>
        <w:ind w:left="1418"/>
        <w:jc w:val="both"/>
        <w:rPr>
          <w:rFonts w:ascii="Book Antiqua" w:hAnsi="Book Antiqua" w:cs="Book Antiqua"/>
          <w:color w:val="000000"/>
        </w:rPr>
      </w:pPr>
      <w:r>
        <w:rPr>
          <w:rFonts w:ascii="Book Antiqua" w:hAnsi="Book Antiqua" w:cs="Book Antiqua"/>
          <w:color w:val="000000"/>
        </w:rPr>
        <w:t xml:space="preserve">N.B. Lorsque le CEFA ne compte aucun accompagnateur, le coordonnateur assume les missions propres à celui-ci. </w:t>
      </w:r>
      <w:r>
        <w:rPr>
          <w:rStyle w:val="Caractresdenotedebasdepage"/>
          <w:rFonts w:ascii="Book Antiqua" w:hAnsi="Book Antiqua" w:cs="Book Antiqua"/>
          <w:color w:val="000000"/>
        </w:rPr>
        <w:footnoteReference w:id="215"/>
      </w:r>
    </w:p>
    <w:p>
      <w:pPr>
        <w:pStyle w:val="Textebrut1"/>
        <w:widowControl/>
        <w:tabs>
          <w:tab w:val="left" w:pos="644"/>
        </w:tabs>
        <w:ind w:left="1418" w:firstLine="0"/>
        <w:rPr>
          <w:lang w:val="fr-FR"/>
        </w:rPr>
      </w:pPr>
      <w:r>
        <w:rPr>
          <w:rFonts w:ascii="Book Antiqua" w:hAnsi="Book Antiqua" w:cs="Book Antiqua"/>
          <w:color w:val="000000"/>
          <w:lang w:val="fr-FR"/>
        </w:rPr>
        <w:t xml:space="preserve">Des documents décrivant les tâches exécutées dans le cadre des activités en entreprise attestent que celles-ci sont en concordance avec les objectifs de formation. Ces objectifs sont consignés dans un contrat signé par le coordonnateur, le responsable désigné par l'entreprise et l'élève, s'il est majeur, ses parents ou la personne investie de l'autorité parentale, s'il est mineur. </w:t>
      </w:r>
      <w:r>
        <w:rPr>
          <w:rStyle w:val="Caractresdenotedebasdepage"/>
          <w:rFonts w:ascii="Book Antiqua" w:hAnsi="Book Antiqua" w:cs="Book Antiqua"/>
          <w:color w:val="000000"/>
          <w:lang w:val="fr-FR"/>
        </w:rPr>
        <w:footnoteReference w:id="216"/>
      </w:r>
    </w:p>
    <w:p>
      <w:pPr>
        <w:pStyle w:val="niveau4"/>
        <w:ind w:left="709"/>
      </w:pPr>
      <w:bookmarkStart w:id="109" w:name="_Toc522700825"/>
      <w:r>
        <w:t>2. L’exercice de la fonction de coordonnateur</w:t>
      </w:r>
      <w:bookmarkEnd w:id="109"/>
    </w:p>
    <w:p>
      <w:pPr>
        <w:spacing w:after="120"/>
        <w:ind w:left="1418"/>
        <w:jc w:val="both"/>
        <w:rPr>
          <w:rFonts w:ascii="Book Antiqua" w:hAnsi="Book Antiqua" w:cs="Book Antiqua"/>
          <w:color w:val="000000"/>
        </w:rPr>
      </w:pPr>
      <w:r>
        <w:rPr>
          <w:rFonts w:ascii="Book Antiqua" w:hAnsi="Book Antiqua" w:cs="Book Antiqua"/>
          <w:color w:val="000000"/>
        </w:rPr>
        <w:t>La charge de coordonnateur au sein du CEFA est de 36 périodes de prestations par semaine</w:t>
      </w:r>
      <w:r>
        <w:rPr>
          <w:rStyle w:val="Caractresdenotedebasdepage"/>
          <w:rFonts w:ascii="Book Antiqua" w:hAnsi="Book Antiqua" w:cs="Book Antiqua"/>
          <w:color w:val="000000"/>
        </w:rPr>
        <w:footnoteReference w:id="217"/>
      </w:r>
      <w:r>
        <w:rPr>
          <w:rFonts w:ascii="Book Antiqua" w:hAnsi="Book Antiqua" w:cs="Book Antiqua"/>
          <w:color w:val="000000"/>
        </w:rPr>
        <w:t xml:space="preserve">. Elle ne peut pas être scindée entre plusieurs personnes, si ce n’est dans le cadre de l’aménagement de fin de carrière. </w:t>
      </w:r>
      <w:r>
        <w:rPr>
          <w:rStyle w:val="Caractresdenotedebasdepage"/>
          <w:rFonts w:ascii="Book Antiqua" w:hAnsi="Book Antiqua" w:cs="Book Antiqua"/>
          <w:color w:val="000000"/>
        </w:rPr>
        <w:footnoteReference w:id="218"/>
      </w:r>
    </w:p>
    <w:p>
      <w:pPr>
        <w:spacing w:after="120"/>
        <w:ind w:left="1418"/>
        <w:jc w:val="both"/>
        <w:rPr>
          <w:rFonts w:ascii="Book Antiqua" w:hAnsi="Book Antiqua" w:cs="Book Antiqua"/>
          <w:color w:val="000000"/>
        </w:rPr>
      </w:pPr>
      <w:r>
        <w:rPr>
          <w:rFonts w:ascii="Book Antiqua" w:hAnsi="Book Antiqua" w:cs="Book Antiqua"/>
          <w:color w:val="000000"/>
        </w:rPr>
        <w:t>Le coordonnateur est :</w:t>
      </w:r>
    </w:p>
    <w:p>
      <w:pPr>
        <w:numPr>
          <w:ilvl w:val="0"/>
          <w:numId w:val="34"/>
        </w:numPr>
        <w:tabs>
          <w:tab w:val="clear" w:pos="1069"/>
          <w:tab w:val="num" w:pos="1778"/>
        </w:tabs>
        <w:spacing w:after="120"/>
        <w:ind w:left="1778"/>
        <w:jc w:val="both"/>
        <w:rPr>
          <w:rFonts w:ascii="Book Antiqua" w:hAnsi="Book Antiqua" w:cs="Book Antiqua"/>
          <w:color w:val="000000"/>
        </w:rPr>
      </w:pPr>
      <w:r>
        <w:rPr>
          <w:rFonts w:ascii="Book Antiqua" w:hAnsi="Book Antiqua" w:cs="Book Antiqua"/>
          <w:color w:val="000000"/>
        </w:rPr>
        <w:lastRenderedPageBreak/>
        <w:t xml:space="preserve">affecté dans l’établissement où le CEFA a son siège administratif ; </w:t>
      </w:r>
      <w:r>
        <w:rPr>
          <w:rStyle w:val="Caractresdenotedebasdepage"/>
          <w:rFonts w:ascii="Book Antiqua" w:hAnsi="Book Antiqua" w:cs="Book Antiqua"/>
          <w:color w:val="000000"/>
        </w:rPr>
        <w:footnoteReference w:id="219"/>
      </w:r>
    </w:p>
    <w:p>
      <w:pPr>
        <w:numPr>
          <w:ilvl w:val="0"/>
          <w:numId w:val="34"/>
        </w:numPr>
        <w:tabs>
          <w:tab w:val="clear" w:pos="1069"/>
          <w:tab w:val="num" w:pos="1778"/>
        </w:tabs>
        <w:spacing w:after="120"/>
        <w:ind w:left="1778"/>
        <w:jc w:val="both"/>
        <w:rPr>
          <w:rFonts w:ascii="Book Antiqua" w:hAnsi="Book Antiqua" w:cs="Book Antiqua"/>
          <w:color w:val="000000"/>
        </w:rPr>
      </w:pPr>
      <w:r>
        <w:rPr>
          <w:rFonts w:ascii="Book Antiqua" w:hAnsi="Book Antiqua" w:cs="Book Antiqua"/>
          <w:color w:val="000000"/>
        </w:rPr>
        <w:t xml:space="preserve">placé sous l’autorité du directeur de l’établissement auprès duquel le CEFA a son siège ; </w:t>
      </w:r>
      <w:r>
        <w:rPr>
          <w:rStyle w:val="Caractresdenotedebasdepage"/>
          <w:rFonts w:ascii="Book Antiqua" w:hAnsi="Book Antiqua" w:cs="Book Antiqua"/>
          <w:color w:val="000000"/>
        </w:rPr>
        <w:footnoteReference w:id="220"/>
      </w:r>
    </w:p>
    <w:p>
      <w:pPr>
        <w:numPr>
          <w:ilvl w:val="0"/>
          <w:numId w:val="34"/>
        </w:numPr>
        <w:tabs>
          <w:tab w:val="clear" w:pos="1069"/>
          <w:tab w:val="num" w:pos="1778"/>
        </w:tabs>
        <w:spacing w:after="240"/>
        <w:ind w:left="1775" w:hanging="357"/>
        <w:jc w:val="both"/>
        <w:rPr>
          <w:rFonts w:ascii="Book Antiqua" w:hAnsi="Book Antiqua" w:cs="Book Antiqua"/>
          <w:color w:val="000000"/>
        </w:rPr>
      </w:pPr>
      <w:r>
        <w:rPr>
          <w:rFonts w:ascii="Book Antiqua" w:hAnsi="Book Antiqua" w:cs="Book Antiqua"/>
          <w:color w:val="000000"/>
        </w:rPr>
        <w:t>peut recevoir des consignes d’organisation du Conseil de direction.</w:t>
      </w:r>
    </w:p>
    <w:p>
      <w:pPr>
        <w:pStyle w:val="niveau3"/>
        <w:ind w:left="709"/>
      </w:pPr>
      <w:bookmarkStart w:id="110" w:name="_Toc522700826"/>
      <w:r>
        <w:t xml:space="preserve">III. </w:t>
      </w:r>
      <w:r>
        <w:rPr>
          <w:u w:val="single"/>
        </w:rPr>
        <w:t>L’accompagnement</w:t>
      </w:r>
      <w:bookmarkEnd w:id="110"/>
    </w:p>
    <w:p>
      <w:pPr>
        <w:pStyle w:val="niveau4"/>
        <w:ind w:left="709"/>
      </w:pPr>
      <w:bookmarkStart w:id="111" w:name="_Toc522700827"/>
      <w:r>
        <w:t>1. Périodes hebdomadaires d’accompagnement pour l’enseignement secondaire ordinaire</w:t>
      </w:r>
      <w:bookmarkEnd w:id="111"/>
    </w:p>
    <w:p>
      <w:pPr>
        <w:numPr>
          <w:ilvl w:val="0"/>
          <w:numId w:val="21"/>
        </w:numPr>
        <w:tabs>
          <w:tab w:val="clear" w:pos="360"/>
          <w:tab w:val="num" w:pos="1069"/>
          <w:tab w:val="left" w:pos="1134"/>
        </w:tabs>
        <w:spacing w:after="60"/>
        <w:ind w:left="1843" w:hanging="283"/>
        <w:jc w:val="both"/>
        <w:rPr>
          <w:rFonts w:ascii="Book Antiqua" w:hAnsi="Book Antiqua" w:cs="Book Antiqua"/>
          <w:color w:val="000000"/>
        </w:rPr>
      </w:pPr>
      <w:r>
        <w:rPr>
          <w:rFonts w:ascii="Book Antiqua" w:hAnsi="Book Antiqua" w:cs="Book Antiqua"/>
          <w:color w:val="000000"/>
        </w:rPr>
        <w:t>0,85 période hebdomadaire d’accompagnement est accordée pour tout élève régulièrement inscrit et soumis à l’obligation scolaire à temps partiel :</w:t>
      </w:r>
    </w:p>
    <w:p>
      <w:pPr>
        <w:pStyle w:val="Retraitcorpsdetexte"/>
        <w:tabs>
          <w:tab w:val="clear" w:pos="7064"/>
        </w:tabs>
        <w:suppressAutoHyphens w:val="0"/>
        <w:spacing w:after="60"/>
        <w:ind w:left="2127" w:hanging="284"/>
        <w:rPr>
          <w:rFonts w:ascii="Book Antiqua" w:hAnsi="Book Antiqua" w:cs="Book Antiqua"/>
          <w:color w:val="000000"/>
          <w:spacing w:val="0"/>
          <w:sz w:val="20"/>
          <w:szCs w:val="20"/>
        </w:rPr>
      </w:pPr>
      <w:r>
        <w:rPr>
          <w:rFonts w:ascii="Book Antiqua" w:hAnsi="Book Antiqua" w:cs="Book Antiqua"/>
          <w:color w:val="000000"/>
          <w:spacing w:val="0"/>
          <w:sz w:val="20"/>
          <w:szCs w:val="20"/>
        </w:rPr>
        <w:t>1°</w:t>
      </w:r>
      <w:r>
        <w:rPr>
          <w:rFonts w:ascii="Book Antiqua" w:hAnsi="Book Antiqua" w:cs="Book Antiqua"/>
          <w:color w:val="000000"/>
          <w:spacing w:val="0"/>
          <w:sz w:val="20"/>
          <w:szCs w:val="20"/>
        </w:rPr>
        <w:tab/>
        <w:t>pendant les six premiers mois de son inscription dans un centre d’éducation et de formation par alternance ;</w:t>
      </w:r>
    </w:p>
    <w:p>
      <w:pPr>
        <w:spacing w:after="60"/>
        <w:ind w:left="2127" w:hanging="284"/>
        <w:jc w:val="both"/>
        <w:rPr>
          <w:rFonts w:ascii="Book Antiqua" w:hAnsi="Book Antiqua" w:cs="Book Antiqua"/>
          <w:color w:val="000000"/>
        </w:rPr>
      </w:pPr>
      <w:r>
        <w:rPr>
          <w:rFonts w:ascii="Book Antiqua" w:hAnsi="Book Antiqua" w:cs="Book Antiqua"/>
          <w:color w:val="000000"/>
        </w:rPr>
        <w:t>2°</w:t>
      </w:r>
      <w:r>
        <w:rPr>
          <w:rFonts w:ascii="Book Antiqua" w:hAnsi="Book Antiqua" w:cs="Book Antiqua"/>
          <w:color w:val="000000"/>
        </w:rPr>
        <w:tab/>
        <w:t xml:space="preserve">qui, après les six premiers mois de fréquentation du CEFA, a conclu et mène à bien un contrat, une convention ou un stage. </w:t>
      </w:r>
      <w:r>
        <w:rPr>
          <w:rStyle w:val="Caractresdenotedebasdepage"/>
          <w:rFonts w:ascii="Book Antiqua" w:hAnsi="Book Antiqua" w:cs="Book Antiqua"/>
          <w:color w:val="000000"/>
        </w:rPr>
        <w:footnoteReference w:id="221"/>
      </w:r>
    </w:p>
    <w:p>
      <w:pPr>
        <w:spacing w:after="60"/>
        <w:ind w:left="1843"/>
        <w:jc w:val="both"/>
        <w:rPr>
          <w:rFonts w:ascii="Book Antiqua" w:hAnsi="Book Antiqua" w:cs="Book Antiqua"/>
          <w:color w:val="000000"/>
        </w:rPr>
      </w:pPr>
      <w:r>
        <w:rPr>
          <w:rFonts w:ascii="Book Antiqua" w:hAnsi="Book Antiqua" w:cs="Book Antiqua"/>
          <w:color w:val="000000"/>
        </w:rPr>
        <w:t xml:space="preserve">L’élève âgé de moins de 17 ans au 31 décembre de l’année scolaire en cours satisfait aux obligations du point 2° ci-dessus, s’il accomplit au moins 400 heures de stage, de convention ou de contrat sur l’année. </w:t>
      </w:r>
      <w:r>
        <w:rPr>
          <w:rStyle w:val="Caractresdenotedebasdepage"/>
          <w:rFonts w:ascii="Book Antiqua" w:hAnsi="Book Antiqua" w:cs="Book Antiqua"/>
          <w:color w:val="000000"/>
        </w:rPr>
        <w:footnoteReference w:id="222"/>
      </w:r>
    </w:p>
    <w:p>
      <w:pPr>
        <w:spacing w:after="60"/>
        <w:ind w:left="1843"/>
        <w:jc w:val="both"/>
        <w:rPr>
          <w:rFonts w:ascii="Book Antiqua" w:hAnsi="Book Antiqua" w:cs="Book Antiqua"/>
          <w:color w:val="000000"/>
        </w:rPr>
      </w:pPr>
      <w:r>
        <w:rPr>
          <w:rFonts w:ascii="Book Antiqua" w:hAnsi="Book Antiqua" w:cs="Book Antiqua"/>
          <w:color w:val="000000"/>
        </w:rPr>
        <w:t xml:space="preserve">L’élève âgé de moins de 18 ans au 31 décembre de l’année scolaire en cours satisfait aux obligations du point 2° ci-dessus, s’il accomplit au moins 600 heures de stage ou de contrat sur l’année. </w:t>
      </w:r>
      <w:r>
        <w:rPr>
          <w:rStyle w:val="Caractresdenotedebasdepage"/>
          <w:rFonts w:ascii="Book Antiqua" w:hAnsi="Book Antiqua" w:cs="Book Antiqua"/>
          <w:color w:val="000000"/>
        </w:rPr>
        <w:footnoteReference w:id="223"/>
      </w:r>
    </w:p>
    <w:p>
      <w:pPr>
        <w:numPr>
          <w:ilvl w:val="0"/>
          <w:numId w:val="18"/>
        </w:numPr>
        <w:tabs>
          <w:tab w:val="clear" w:pos="360"/>
          <w:tab w:val="num" w:pos="1069"/>
        </w:tabs>
        <w:ind w:left="1843" w:hanging="283"/>
        <w:jc w:val="both"/>
        <w:rPr>
          <w:rFonts w:ascii="Book Antiqua" w:hAnsi="Book Antiqua" w:cs="Book Antiqua"/>
          <w:color w:val="000000"/>
        </w:rPr>
      </w:pPr>
      <w:r>
        <w:rPr>
          <w:rFonts w:ascii="Book Antiqua" w:hAnsi="Book Antiqua" w:cs="Book Antiqua"/>
          <w:color w:val="000000"/>
        </w:rPr>
        <w:t xml:space="preserve">0,50 période hebdomadaire d’accompagnement est accordée pour tout élève non soumis à l’obligation scolaire à temps partiel, régulièrement inscrit et qui a conclu et mène à bien un contrat ou une convention. </w:t>
      </w:r>
      <w:r>
        <w:rPr>
          <w:rStyle w:val="Caractresdenotedebasdepage"/>
          <w:rFonts w:ascii="Book Antiqua" w:hAnsi="Book Antiqua" w:cs="Book Antiqua"/>
          <w:color w:val="000000"/>
        </w:rPr>
        <w:footnoteReference w:id="224"/>
      </w:r>
    </w:p>
    <w:p>
      <w:pPr>
        <w:spacing w:after="120"/>
        <w:ind w:left="1843"/>
        <w:jc w:val="both"/>
        <w:rPr>
          <w:rFonts w:ascii="Book Antiqua" w:hAnsi="Book Antiqua" w:cs="Book Antiqua"/>
          <w:color w:val="000000"/>
        </w:rPr>
      </w:pPr>
      <w:r>
        <w:rPr>
          <w:rFonts w:ascii="Book Antiqua" w:hAnsi="Book Antiqua" w:cs="Book Antiqua"/>
          <w:color w:val="000000"/>
        </w:rPr>
        <w:t>L’élève âgé de plus de 18 ans au 31 décembre de l’année scolaire en cours satisfait aux obligations de l’alinéa 1</w:t>
      </w:r>
      <w:r>
        <w:rPr>
          <w:rFonts w:ascii="Book Antiqua" w:hAnsi="Book Antiqua" w:cs="Book Antiqua"/>
          <w:color w:val="000000"/>
          <w:vertAlign w:val="superscript"/>
        </w:rPr>
        <w:t>er</w:t>
      </w:r>
      <w:r>
        <w:rPr>
          <w:rFonts w:ascii="Book Antiqua" w:hAnsi="Book Antiqua" w:cs="Book Antiqua"/>
          <w:color w:val="000000"/>
        </w:rPr>
        <w:t xml:space="preserve"> s’il accomplit au moins 800 heures de convention ou de contrat sur l’année. </w:t>
      </w:r>
      <w:r>
        <w:rPr>
          <w:rStyle w:val="Caractresdenotedebasdepage"/>
          <w:rFonts w:ascii="Book Antiqua" w:hAnsi="Book Antiqua" w:cs="Book Antiqua"/>
          <w:color w:val="000000"/>
        </w:rPr>
        <w:footnoteReference w:id="225"/>
      </w:r>
    </w:p>
    <w:p>
      <w:pPr>
        <w:numPr>
          <w:ilvl w:val="0"/>
          <w:numId w:val="18"/>
        </w:numPr>
        <w:tabs>
          <w:tab w:val="clear" w:pos="360"/>
          <w:tab w:val="left" w:pos="709"/>
          <w:tab w:val="num" w:pos="1069"/>
        </w:tabs>
        <w:spacing w:after="60"/>
        <w:ind w:left="1843" w:hanging="283"/>
        <w:jc w:val="both"/>
        <w:rPr>
          <w:rFonts w:ascii="Book Antiqua" w:hAnsi="Book Antiqua" w:cs="Book Antiqua"/>
          <w:color w:val="000000"/>
        </w:rPr>
      </w:pPr>
      <w:r>
        <w:rPr>
          <w:rFonts w:ascii="Book Antiqua" w:hAnsi="Book Antiqua" w:cs="Book Antiqua"/>
          <w:color w:val="000000"/>
        </w:rPr>
        <w:t xml:space="preserve">Le quotient de la division par 22 de la somme des périodes détermine le nombre d’équivalents temps plein d’accompagnateurs affectés au centre, au degré inférieur et au degré supérieur, proportionnellement au nombre d’élèves de ces degrés. </w:t>
      </w:r>
      <w:r>
        <w:rPr>
          <w:rStyle w:val="Caractresdenotedebasdepage"/>
          <w:rFonts w:ascii="Book Antiqua" w:hAnsi="Book Antiqua" w:cs="Book Antiqua"/>
          <w:color w:val="000000"/>
        </w:rPr>
        <w:footnoteReference w:id="226"/>
      </w:r>
    </w:p>
    <w:p>
      <w:pPr>
        <w:spacing w:after="120"/>
        <w:ind w:left="1843"/>
        <w:jc w:val="both"/>
        <w:rPr>
          <w:rFonts w:ascii="Book Antiqua" w:hAnsi="Book Antiqua" w:cs="Book Antiqua"/>
          <w:color w:val="000000"/>
        </w:rPr>
      </w:pPr>
      <w:r>
        <w:rPr>
          <w:rFonts w:ascii="Book Antiqua" w:hAnsi="Book Antiqua" w:cs="Book Antiqua"/>
          <w:color w:val="000000"/>
        </w:rPr>
        <w:t>Les périodes-professeurs prévues à l’article 14, §2, du décret du 3 juillet 1991, et non utilisées à des charges d’enseignement peuvent être ajoutées à la somme visée à l’alinéa 1</w:t>
      </w:r>
      <w:r>
        <w:rPr>
          <w:rFonts w:ascii="Book Antiqua" w:hAnsi="Book Antiqua" w:cs="Book Antiqua"/>
          <w:color w:val="000000"/>
          <w:vertAlign w:val="superscript"/>
        </w:rPr>
        <w:t>er</w:t>
      </w:r>
      <w:r>
        <w:rPr>
          <w:rFonts w:ascii="Book Antiqua" w:hAnsi="Book Antiqua" w:cs="Book Antiqua"/>
          <w:color w:val="000000"/>
        </w:rPr>
        <w:t xml:space="preserve">, à concurrence d’un maximum de 10% du total de ces périodes-professeurs. </w:t>
      </w:r>
      <w:r>
        <w:rPr>
          <w:rStyle w:val="Caractresdenotedebasdepage"/>
          <w:rFonts w:ascii="Book Antiqua" w:hAnsi="Book Antiqua" w:cs="Book Antiqua"/>
          <w:color w:val="000000"/>
        </w:rPr>
        <w:footnoteReference w:id="227"/>
      </w:r>
    </w:p>
    <w:p>
      <w:pPr>
        <w:pStyle w:val="Titre10"/>
        <w:numPr>
          <w:ilvl w:val="0"/>
          <w:numId w:val="31"/>
        </w:numPr>
        <w:tabs>
          <w:tab w:val="clear" w:pos="360"/>
          <w:tab w:val="left" w:pos="284"/>
          <w:tab w:val="left" w:pos="709"/>
          <w:tab w:val="num" w:pos="1069"/>
        </w:tabs>
        <w:spacing w:before="0" w:after="0"/>
        <w:ind w:left="1843" w:hanging="283"/>
        <w:jc w:val="both"/>
        <w:rPr>
          <w:rFonts w:ascii="Book Antiqua" w:hAnsi="Book Antiqua" w:cs="Book Antiqua"/>
          <w:b w:val="0"/>
          <w:color w:val="000000"/>
          <w:sz w:val="20"/>
          <w:szCs w:val="20"/>
        </w:rPr>
      </w:pPr>
      <w:r>
        <w:rPr>
          <w:rFonts w:ascii="Book Antiqua" w:hAnsi="Book Antiqua" w:cs="Book Antiqua"/>
          <w:b w:val="0"/>
          <w:color w:val="000000"/>
          <w:sz w:val="20"/>
          <w:szCs w:val="20"/>
        </w:rPr>
        <w:t>La tolérance « pour toute raison » qui réduit le nombre d’heures de formation par le travail en entreprise n’a aucun impact sur le calcul des périodes d’accompagnateur. Un élève qui n’accomplit que 300 heures de formation reste régulier mais ne sera pas comptabilisable pour l’accompagnement.</w:t>
      </w:r>
    </w:p>
    <w:p>
      <w:pPr>
        <w:pStyle w:val="Corpsdetexte"/>
      </w:pPr>
    </w:p>
    <w:p>
      <w:pPr>
        <w:pStyle w:val="Corpsdetexte"/>
        <w:ind w:left="1418"/>
        <w:rPr>
          <w:rFonts w:ascii="Book Antiqua" w:hAnsi="Book Antiqua"/>
          <w:sz w:val="20"/>
          <w:szCs w:val="20"/>
        </w:rPr>
      </w:pPr>
      <w:r>
        <w:rPr>
          <w:rFonts w:ascii="Book Antiqua" w:hAnsi="Book Antiqua"/>
          <w:sz w:val="20"/>
          <w:szCs w:val="20"/>
        </w:rPr>
        <w:lastRenderedPageBreak/>
        <w:t>Pour le calcul des périodes d’accompagnement, les élèves sont donc répartis suivant les deux catégories définies aux points 1° et 2°.</w:t>
      </w:r>
    </w:p>
    <w:p>
      <w:pPr>
        <w:pStyle w:val="Corpsdetexte"/>
        <w:ind w:left="1560"/>
        <w:rPr>
          <w:rFonts w:ascii="Book Antiqua" w:hAnsi="Book Antiqua"/>
          <w:sz w:val="20"/>
          <w:szCs w:val="20"/>
        </w:rPr>
      </w:pPr>
    </w:p>
    <w:p>
      <w:pPr>
        <w:ind w:left="1418"/>
        <w:rPr>
          <w:rFonts w:ascii="Book Antiqua" w:hAnsi="Book Antiqua"/>
        </w:rPr>
      </w:pPr>
      <w:r>
        <w:rPr>
          <w:rFonts w:ascii="Book Antiqua" w:hAnsi="Book Antiqua"/>
        </w:rPr>
        <w:t>Au 15/01, il y a donc lieu de distinguer :</w:t>
      </w:r>
    </w:p>
    <w:p>
      <w:pPr>
        <w:ind w:left="1418"/>
        <w:rPr>
          <w:rFonts w:ascii="Book Antiqua" w:hAnsi="Book Antiqua"/>
        </w:rPr>
      </w:pPr>
      <w:r>
        <w:rPr>
          <w:rFonts w:ascii="Book Antiqua" w:hAnsi="Book Antiqua"/>
        </w:rPr>
        <w:t>- les élèves qui n'avaient pas 17 ans au 31/12 et qui ont un stage &gt;= 400 périodes. Ces élèves devront être répartis dans la catégorie 1</w:t>
      </w:r>
    </w:p>
    <w:p>
      <w:pPr>
        <w:ind w:left="1418"/>
        <w:rPr>
          <w:rFonts w:ascii="Book Antiqua" w:hAnsi="Book Antiqua"/>
        </w:rPr>
      </w:pPr>
      <w:r>
        <w:rPr>
          <w:rFonts w:ascii="Book Antiqua" w:hAnsi="Book Antiqua"/>
        </w:rPr>
        <w:t>- les élèves qui n'avaient pas 18 ans au 31/12 et qui ont un stage &gt;= 600 périodes. Ces élèves devront être répartis dans la catégorie 1</w:t>
      </w:r>
    </w:p>
    <w:p>
      <w:pPr>
        <w:ind w:left="1418"/>
        <w:rPr>
          <w:rFonts w:ascii="Book Antiqua" w:hAnsi="Book Antiqua"/>
        </w:rPr>
      </w:pPr>
      <w:r>
        <w:rPr>
          <w:rFonts w:ascii="Book Antiqua" w:hAnsi="Book Antiqua"/>
        </w:rPr>
        <w:t>- les élèves qui sont âgés de plus de 18 ans au 31/12 (par plus de 18 ans, on entend 18 ans et un jour) et qui ont un stage &gt;= 800 périodes. Ces élèves seront répartis dans la catégorie 2.</w:t>
      </w:r>
    </w:p>
    <w:p>
      <w:pPr>
        <w:pStyle w:val="Titre1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Pour ce calcul, sont pris en considération les élèves inscrits au 15 janvier de l’année scolaire précédente, qui remplissaient à cette date, pour ce qui concerne les douze mois précédents, les conditions de fréquentation régulière des cours et des stages ou conventions au sein du CEFA où ils sont inscrits. </w:t>
      </w:r>
      <w:r>
        <w:rPr>
          <w:rStyle w:val="Caractresdenotedebasdepage"/>
          <w:rFonts w:ascii="Book Antiqua" w:hAnsi="Book Antiqua" w:cs="Book Antiqua"/>
          <w:color w:val="000000"/>
          <w:sz w:val="20"/>
          <w:szCs w:val="20"/>
        </w:rPr>
        <w:footnoteReference w:id="228"/>
      </w:r>
      <w:r>
        <w:rPr>
          <w:rFonts w:ascii="Book Antiqua" w:hAnsi="Book Antiqua" w:cs="Book Antiqua"/>
          <w:b w:val="0"/>
          <w:color w:val="000000"/>
          <w:sz w:val="20"/>
          <w:szCs w:val="20"/>
        </w:rPr>
        <w:t xml:space="preserve"> </w:t>
      </w:r>
    </w:p>
    <w:p>
      <w:pPr>
        <w:tabs>
          <w:tab w:val="left" w:pos="426"/>
          <w:tab w:val="left" w:pos="3600"/>
        </w:tabs>
        <w:spacing w:before="120" w:after="120"/>
        <w:ind w:left="1418"/>
        <w:jc w:val="both"/>
        <w:rPr>
          <w:rFonts w:ascii="Book Antiqua" w:hAnsi="Book Antiqua" w:cs="Book Antiqua"/>
          <w:color w:val="000000"/>
          <w:lang w:val="fr-BE"/>
        </w:rPr>
      </w:pPr>
      <w:r>
        <w:rPr>
          <w:rFonts w:ascii="Book Antiqua" w:hAnsi="Book Antiqua" w:cs="Book Antiqua"/>
        </w:rPr>
        <w:t>Par dérogation à l’alinéa précédent,</w:t>
      </w:r>
      <w:r>
        <w:rPr>
          <w:rFonts w:ascii="Book Antiqua" w:hAnsi="Book Antiqua" w:cs="Book Antiqua"/>
          <w:color w:val="000000"/>
          <w:lang w:val="fr-BE"/>
        </w:rPr>
        <w:t xml:space="preserve"> n’est </w:t>
      </w:r>
      <w:r>
        <w:rPr>
          <w:rFonts w:ascii="Book Antiqua" w:hAnsi="Book Antiqua" w:cs="Book Antiqua"/>
        </w:rPr>
        <w:t>pas</w:t>
      </w:r>
      <w:r>
        <w:rPr>
          <w:rFonts w:ascii="Book Antiqua" w:hAnsi="Book Antiqua" w:cs="Book Antiqua"/>
          <w:color w:val="000000"/>
          <w:lang w:val="fr-BE"/>
        </w:rPr>
        <w:t xml:space="preserve"> considéré comme </w:t>
      </w:r>
      <w:r>
        <w:rPr>
          <w:rFonts w:ascii="Book Antiqua" w:hAnsi="Book Antiqua" w:cs="Book Antiqua"/>
        </w:rPr>
        <w:t>inscrit</w:t>
      </w:r>
      <w:r>
        <w:rPr>
          <w:rFonts w:ascii="Book Antiqua" w:hAnsi="Book Antiqua" w:cs="Book Antiqua"/>
          <w:color w:val="000000"/>
          <w:lang w:val="fr-BE"/>
        </w:rPr>
        <w:t xml:space="preserve"> au 15 janvier de l’année précédente dans l’établissement qui l’a exclu, l’élève qui fait l’objet d’une exclusion définitive à un moment quelconque de cette année, mais bien dans celui qui, le cas échéant, l’accueille après cette décision. </w:t>
      </w:r>
      <w:r>
        <w:rPr>
          <w:rStyle w:val="Caractresdenotedebasdepage"/>
          <w:rFonts w:ascii="Book Antiqua" w:hAnsi="Book Antiqua" w:cs="Book Antiqua"/>
          <w:color w:val="000000"/>
        </w:rPr>
        <w:footnoteReference w:id="229"/>
      </w:r>
    </w:p>
    <w:p>
      <w:pPr>
        <w:tabs>
          <w:tab w:val="left" w:pos="426"/>
          <w:tab w:val="left" w:pos="3600"/>
        </w:tabs>
        <w:spacing w:before="120"/>
        <w:ind w:left="1418"/>
        <w:jc w:val="both"/>
        <w:rPr>
          <w:rFonts w:ascii="Book Antiqua" w:hAnsi="Book Antiqua" w:cs="Book Antiqua"/>
          <w:color w:val="000000"/>
        </w:rPr>
      </w:pPr>
      <w:r>
        <w:rPr>
          <w:rFonts w:ascii="Book Antiqua" w:hAnsi="Book Antiqua" w:cs="Book Antiqua"/>
          <w:color w:val="000000"/>
          <w:lang w:val="fr-BE"/>
        </w:rPr>
        <w:t>Pour plus d’information sur ce point, il convient de consulter la circulaire n°</w:t>
      </w:r>
      <w:r>
        <w:rPr>
          <w:rFonts w:ascii="Book Antiqua" w:hAnsi="Book Antiqua" w:cs="Book Antiqua"/>
          <w:color w:val="000000"/>
        </w:rPr>
        <w:t>2020 du 6 septembre 2007 « Prise en compte des élèves exclus pour la définition du montant des dotations ou subventions et de l’encadrement ».</w:t>
      </w:r>
    </w:p>
    <w:p>
      <w:pPr>
        <w:pStyle w:val="niveau4"/>
        <w:ind w:left="709"/>
        <w:rPr>
          <w:rFonts w:cs="Book Antiqua"/>
          <w:color w:val="000000"/>
        </w:rPr>
      </w:pPr>
      <w:bookmarkStart w:id="112" w:name="_Toc522700828"/>
      <w:r>
        <w:t>2. Périodes hebdomadaires d’accompagnement pour les élèves inscrits en alternance dans l’enseignement spécialisé</w:t>
      </w:r>
      <w:r>
        <w:rPr>
          <w:rStyle w:val="Caractresdenotedebasdepage"/>
        </w:rPr>
        <w:footnoteReference w:id="230"/>
      </w:r>
      <w:bookmarkEnd w:id="112"/>
    </w:p>
    <w:p>
      <w:pPr>
        <w:numPr>
          <w:ilvl w:val="0"/>
          <w:numId w:val="21"/>
        </w:numPr>
        <w:tabs>
          <w:tab w:val="clear" w:pos="360"/>
          <w:tab w:val="num" w:pos="1069"/>
          <w:tab w:val="left" w:pos="1134"/>
        </w:tabs>
        <w:spacing w:after="120"/>
        <w:ind w:left="1844" w:hanging="284"/>
        <w:jc w:val="both"/>
        <w:rPr>
          <w:rFonts w:ascii="Book Antiqua" w:hAnsi="Book Antiqua" w:cs="Book Antiqua"/>
          <w:color w:val="000000"/>
        </w:rPr>
      </w:pPr>
      <w:r>
        <w:rPr>
          <w:rFonts w:ascii="Book Antiqua" w:hAnsi="Book Antiqua" w:cs="Book Antiqua"/>
          <w:color w:val="000000"/>
        </w:rPr>
        <w:t>0,85 période hebdomadaire d’accompagnement est accordée pour tout élève régulièrement inscrit et soumis à l’obligation scolaire à temps partiel ;</w:t>
      </w:r>
    </w:p>
    <w:p>
      <w:pPr>
        <w:numPr>
          <w:ilvl w:val="0"/>
          <w:numId w:val="21"/>
        </w:numPr>
        <w:tabs>
          <w:tab w:val="clear" w:pos="360"/>
          <w:tab w:val="num" w:pos="1069"/>
          <w:tab w:val="left" w:pos="1134"/>
        </w:tabs>
        <w:ind w:left="1843" w:hanging="283"/>
        <w:jc w:val="both"/>
        <w:rPr>
          <w:rFonts w:ascii="Book Antiqua" w:hAnsi="Book Antiqua"/>
        </w:rPr>
      </w:pPr>
      <w:r>
        <w:rPr>
          <w:rFonts w:ascii="Book Antiqua" w:hAnsi="Book Antiqua"/>
        </w:rPr>
        <w:t>0.50 période hebdomadaire d’accompagnement est accordée pour tout élève régulièrement inscrit NON soumis à l’obligation scolaire à temps partiel. </w:t>
      </w:r>
    </w:p>
    <w:p>
      <w:pPr>
        <w:ind w:left="709"/>
        <w:jc w:val="both"/>
        <w:rPr>
          <w:rFonts w:ascii="Arial" w:hAnsi="Arial" w:cs="Arial"/>
          <w:color w:val="000000"/>
        </w:rPr>
      </w:pPr>
    </w:p>
    <w:p>
      <w:pPr>
        <w:pBdr>
          <w:top w:val="single" w:sz="4" w:space="1" w:color="auto"/>
          <w:left w:val="single" w:sz="4" w:space="4" w:color="auto"/>
          <w:bottom w:val="single" w:sz="4" w:space="1" w:color="auto"/>
          <w:right w:val="single" w:sz="4" w:space="4" w:color="auto"/>
        </w:pBdr>
        <w:ind w:left="1418"/>
        <w:jc w:val="both"/>
        <w:rPr>
          <w:rFonts w:ascii="Book Antiqua" w:hAnsi="Book Antiqua" w:cs="Arial"/>
          <w:color w:val="000000"/>
        </w:rPr>
      </w:pPr>
      <w:r>
        <w:rPr>
          <w:rFonts w:ascii="Book Antiqua" w:hAnsi="Book Antiqua" w:cs="Arial"/>
          <w:color w:val="000000"/>
        </w:rPr>
        <w:t>Pour le calcul des périodes d’accompagnement pour les élèves inscrits en alternance dans l’enseignement spécialisé, sont pris en considération les élèves inscrits au 15 janvier de l’année scolaire précédente, qui remplissaient à cette date, pour ce qui concerne les douze mois précédents, les conditions de fréquentation régulière des cours et des stages ou conventions au sein de l’établissement d’enseignement spécialisé où ils sont inscrits.</w:t>
      </w:r>
    </w:p>
    <w:p>
      <w:pPr>
        <w:pBdr>
          <w:top w:val="single" w:sz="4" w:space="1" w:color="auto"/>
          <w:left w:val="single" w:sz="4" w:space="4" w:color="auto"/>
          <w:bottom w:val="single" w:sz="4" w:space="1" w:color="auto"/>
          <w:right w:val="single" w:sz="4" w:space="4" w:color="auto"/>
        </w:pBdr>
        <w:ind w:left="1418"/>
        <w:jc w:val="both"/>
        <w:rPr>
          <w:rFonts w:ascii="Book Antiqua" w:hAnsi="Book Antiqua" w:cs="Arial"/>
          <w:color w:val="000000"/>
        </w:rPr>
      </w:pPr>
    </w:p>
    <w:p>
      <w:pPr>
        <w:pBdr>
          <w:top w:val="single" w:sz="4" w:space="1" w:color="auto"/>
          <w:left w:val="single" w:sz="4" w:space="4" w:color="auto"/>
          <w:bottom w:val="single" w:sz="4" w:space="1" w:color="auto"/>
          <w:right w:val="single" w:sz="4" w:space="4" w:color="auto"/>
        </w:pBdr>
        <w:ind w:left="1418"/>
        <w:jc w:val="both"/>
        <w:rPr>
          <w:rFonts w:ascii="Book Antiqua" w:hAnsi="Book Antiqua" w:cs="Arial"/>
          <w:color w:val="000000"/>
        </w:rPr>
      </w:pPr>
      <w:r>
        <w:rPr>
          <w:rFonts w:ascii="Book Antiqua" w:hAnsi="Book Antiqua" w:cs="Arial"/>
          <w:color w:val="000000"/>
        </w:rPr>
        <w:t>L’attribution des périodes d’accompagnement au Centre d’éducation et de formation en alternance demeure acquise en cas d’exclusion définitive de l’élève de l’établissement scolaire d’enseignement spécialisé coopérant ou en cas de rupture du contrat après le 15 janvier de l’année scolaire précédente.</w:t>
      </w:r>
    </w:p>
    <w:p>
      <w:pPr>
        <w:pBdr>
          <w:top w:val="single" w:sz="4" w:space="1" w:color="auto"/>
          <w:left w:val="single" w:sz="4" w:space="4" w:color="auto"/>
          <w:bottom w:val="single" w:sz="4" w:space="1" w:color="auto"/>
          <w:right w:val="single" w:sz="4" w:space="4" w:color="auto"/>
        </w:pBdr>
        <w:ind w:left="1418"/>
        <w:jc w:val="both"/>
        <w:rPr>
          <w:rFonts w:ascii="Book Antiqua" w:hAnsi="Book Antiqua" w:cs="Arial"/>
          <w:color w:val="000000"/>
        </w:rPr>
      </w:pPr>
    </w:p>
    <w:p>
      <w:pPr>
        <w:pBdr>
          <w:top w:val="single" w:sz="4" w:space="1" w:color="auto"/>
          <w:left w:val="single" w:sz="4" w:space="4" w:color="auto"/>
          <w:bottom w:val="single" w:sz="4" w:space="1" w:color="auto"/>
          <w:right w:val="single" w:sz="4" w:space="4" w:color="auto"/>
        </w:pBdr>
        <w:ind w:left="1418"/>
        <w:jc w:val="both"/>
        <w:rPr>
          <w:rFonts w:ascii="Book Antiqua" w:hAnsi="Book Antiqua"/>
        </w:rPr>
      </w:pPr>
      <w:r>
        <w:rPr>
          <w:rFonts w:ascii="Book Antiqua" w:hAnsi="Book Antiqua" w:cs="Arial"/>
          <w:color w:val="000000"/>
        </w:rPr>
        <w:t>Ces dispositions ne sont pas applicables à l’enseignement secondaire ordinaire.</w:t>
      </w:r>
    </w:p>
    <w:p>
      <w:pPr>
        <w:pStyle w:val="Titre10"/>
        <w:ind w:left="284"/>
        <w:jc w:val="both"/>
        <w:rPr>
          <w:rFonts w:ascii="Book Antiqua" w:hAnsi="Book Antiqua" w:cs="Book Antiqua"/>
          <w:b w:val="0"/>
          <w:color w:val="000000"/>
          <w:sz w:val="20"/>
          <w:szCs w:val="20"/>
        </w:rPr>
      </w:pPr>
      <w:r>
        <w:rPr>
          <w:rFonts w:ascii="Book Antiqua" w:hAnsi="Book Antiqua" w:cs="Book Antiqua"/>
          <w:b w:val="0"/>
          <w:color w:val="000000"/>
          <w:sz w:val="20"/>
          <w:szCs w:val="20"/>
        </w:rPr>
        <w:lastRenderedPageBreak/>
        <w:t>Les calculs intermédiaires des périodes d’accompagnement se font en négligeant la troisième décimale. Chaque nombre intermédiaire est arrondi à l’unité supérieure si la première décimale est égale ou supérieure à 5, à l’unité inférieure dans les autres cas</w:t>
      </w:r>
      <w:r>
        <w:rPr>
          <w:rStyle w:val="Appelnotedebasdep"/>
          <w:rFonts w:ascii="Book Antiqua" w:hAnsi="Book Antiqua"/>
          <w:b w:val="0"/>
          <w:color w:val="000000"/>
          <w:sz w:val="20"/>
          <w:szCs w:val="20"/>
        </w:rPr>
        <w:footnoteReference w:id="231"/>
      </w:r>
      <w:r>
        <w:rPr>
          <w:rFonts w:ascii="Book Antiqua" w:hAnsi="Book Antiqua" w:cs="Book Antiqua"/>
          <w:b w:val="0"/>
          <w:color w:val="000000"/>
          <w:sz w:val="20"/>
          <w:szCs w:val="20"/>
        </w:rPr>
        <w:t>.</w:t>
      </w:r>
    </w:p>
    <w:p>
      <w:pPr>
        <w:pStyle w:val="niveau4"/>
        <w:rPr>
          <w:rFonts w:cs="Book Antiqua"/>
          <w:color w:val="000000"/>
        </w:rPr>
      </w:pPr>
      <w:bookmarkStart w:id="113" w:name="_Toc522700829"/>
      <w:r>
        <w:t>3. Missions de l’accompagnement</w:t>
      </w:r>
      <w:r>
        <w:rPr>
          <w:color w:val="000000"/>
        </w:rPr>
        <w:t xml:space="preserve"> </w:t>
      </w:r>
      <w:r>
        <w:rPr>
          <w:rStyle w:val="Caractresdenotedebasdepage"/>
          <w:color w:val="000000"/>
        </w:rPr>
        <w:footnoteReference w:id="232"/>
      </w:r>
      <w:bookmarkEnd w:id="113"/>
    </w:p>
    <w:p>
      <w:pPr>
        <w:numPr>
          <w:ilvl w:val="0"/>
          <w:numId w:val="20"/>
        </w:numPr>
        <w:tabs>
          <w:tab w:val="left" w:pos="1068"/>
        </w:tabs>
        <w:spacing w:after="60"/>
        <w:ind w:left="1066" w:hanging="357"/>
        <w:jc w:val="both"/>
        <w:rPr>
          <w:rFonts w:ascii="Book Antiqua" w:hAnsi="Book Antiqua" w:cs="Book Antiqua"/>
          <w:color w:val="000000"/>
        </w:rPr>
      </w:pPr>
      <w:r>
        <w:rPr>
          <w:rFonts w:ascii="Book Antiqua" w:hAnsi="Book Antiqua" w:cs="Book Antiqua"/>
          <w:color w:val="000000"/>
        </w:rPr>
        <w:t>assurer la recherche de stages, de contrats et de conventions ;</w:t>
      </w:r>
    </w:p>
    <w:p>
      <w:pPr>
        <w:numPr>
          <w:ilvl w:val="0"/>
          <w:numId w:val="20"/>
        </w:numPr>
        <w:tabs>
          <w:tab w:val="left" w:pos="1068"/>
        </w:tabs>
        <w:spacing w:after="60"/>
        <w:ind w:left="1066" w:hanging="357"/>
        <w:jc w:val="both"/>
        <w:rPr>
          <w:rFonts w:ascii="Book Antiqua" w:hAnsi="Book Antiqua" w:cs="Book Antiqua"/>
          <w:color w:val="000000"/>
        </w:rPr>
      </w:pPr>
      <w:r>
        <w:rPr>
          <w:rFonts w:ascii="Book Antiqua" w:hAnsi="Book Antiqua" w:cs="Book Antiqua"/>
          <w:color w:val="000000"/>
        </w:rPr>
        <w:t>vérifier le suivi des stages, contrats et conventions, ce qui implique notamment la vérification sur les lieux de la formation en alternance de la présence régulière de l’élève et de la concordance entre stages, contrats et convention avec la formation suivie par l’élève ;</w:t>
      </w:r>
    </w:p>
    <w:p>
      <w:pPr>
        <w:numPr>
          <w:ilvl w:val="0"/>
          <w:numId w:val="20"/>
        </w:numPr>
        <w:tabs>
          <w:tab w:val="left" w:pos="1068"/>
        </w:tabs>
        <w:ind w:left="1068"/>
        <w:jc w:val="both"/>
        <w:rPr>
          <w:rFonts w:ascii="Book Antiqua" w:hAnsi="Book Antiqua" w:cs="Book Antiqua"/>
          <w:color w:val="000000"/>
        </w:rPr>
      </w:pPr>
      <w:r>
        <w:rPr>
          <w:rFonts w:ascii="Book Antiqua" w:hAnsi="Book Antiqua" w:cs="Book Antiqua"/>
          <w:color w:val="000000"/>
        </w:rPr>
        <w:t>nouer et développer les contacts avec les milieux socio-économiques locaux et régionaux et les associations professionnelles ;</w:t>
      </w:r>
    </w:p>
    <w:p>
      <w:pPr>
        <w:numPr>
          <w:ilvl w:val="0"/>
          <w:numId w:val="20"/>
        </w:numPr>
        <w:tabs>
          <w:tab w:val="left" w:pos="1068"/>
        </w:tabs>
        <w:spacing w:after="60"/>
        <w:ind w:left="1066" w:hanging="357"/>
        <w:jc w:val="both"/>
        <w:rPr>
          <w:rFonts w:ascii="Book Antiqua" w:hAnsi="Book Antiqua" w:cs="Book Antiqua"/>
          <w:color w:val="000000"/>
        </w:rPr>
      </w:pPr>
      <w:r>
        <w:rPr>
          <w:rFonts w:ascii="Book Antiqua" w:hAnsi="Book Antiqua" w:cs="Book Antiqua"/>
          <w:color w:val="000000"/>
        </w:rPr>
        <w:t>prendre toute initiative de nature à favoriser le développement social et culturel de l’élève ;</w:t>
      </w:r>
    </w:p>
    <w:p>
      <w:pPr>
        <w:numPr>
          <w:ilvl w:val="0"/>
          <w:numId w:val="20"/>
        </w:numPr>
        <w:tabs>
          <w:tab w:val="left" w:pos="1068"/>
        </w:tabs>
        <w:spacing w:after="120"/>
        <w:ind w:left="1066" w:hanging="357"/>
        <w:jc w:val="both"/>
        <w:rPr>
          <w:rFonts w:ascii="Book Antiqua" w:hAnsi="Book Antiqua" w:cs="Book Antiqua"/>
          <w:color w:val="000000"/>
        </w:rPr>
      </w:pPr>
      <w:r>
        <w:rPr>
          <w:rFonts w:ascii="Book Antiqua" w:hAnsi="Book Antiqua" w:cs="Book Antiqua"/>
          <w:color w:val="000000"/>
        </w:rPr>
        <w:t>établir des contacts réguliers avec le centre psycho-médico-social chargé de la guidance des élèves.</w:t>
      </w:r>
    </w:p>
    <w:p>
      <w:pPr>
        <w:pStyle w:val="niveau4"/>
      </w:pPr>
      <w:bookmarkStart w:id="114" w:name="_Toc522700830"/>
      <w:r>
        <w:t>4. Prestations de l’accompagnateur</w:t>
      </w:r>
      <w:bookmarkEnd w:id="114"/>
    </w:p>
    <w:p>
      <w:pPr>
        <w:spacing w:after="120"/>
        <w:ind w:left="709"/>
        <w:jc w:val="both"/>
        <w:rPr>
          <w:rFonts w:ascii="Book Antiqua" w:hAnsi="Book Antiqua" w:cs="Book Antiqua"/>
          <w:color w:val="000000"/>
        </w:rPr>
      </w:pPr>
      <w:r>
        <w:rPr>
          <w:rFonts w:ascii="Book Antiqua" w:hAnsi="Book Antiqua" w:cs="Book Antiqua"/>
          <w:color w:val="000000"/>
        </w:rPr>
        <w:t xml:space="preserve">Les accompagnateurs sont placés sous l’autorité du chef de l’établissement auprès duquel le CEFA a son siège. </w:t>
      </w:r>
      <w:r>
        <w:rPr>
          <w:rStyle w:val="Caractresdenotedebasdepage"/>
          <w:rFonts w:ascii="Book Antiqua" w:hAnsi="Book Antiqua" w:cs="Book Antiqua"/>
          <w:color w:val="000000"/>
        </w:rPr>
        <w:footnoteReference w:id="233"/>
      </w:r>
    </w:p>
    <w:p>
      <w:pPr>
        <w:spacing w:after="120"/>
        <w:ind w:left="720" w:hanging="12"/>
        <w:jc w:val="both"/>
        <w:rPr>
          <w:rFonts w:ascii="Book Antiqua" w:hAnsi="Book Antiqua" w:cs="Book Antiqua"/>
          <w:color w:val="000000"/>
        </w:rPr>
      </w:pPr>
      <w:r>
        <w:rPr>
          <w:rFonts w:ascii="Book Antiqua" w:hAnsi="Book Antiqua" w:cs="Book Antiqua"/>
          <w:color w:val="000000"/>
        </w:rPr>
        <w:t xml:space="preserve">Une charge complète d’accompagnateur comporte 36 périodes de prestations par semaine. Sauf pour le reliquat éventuel, une charge d’accompagnateur au sein d’un CEFA ne peut pas être inférieure à un ¼ temps. </w:t>
      </w:r>
      <w:r>
        <w:rPr>
          <w:rStyle w:val="Caractresdenotedebasdepage"/>
          <w:rFonts w:ascii="Book Antiqua" w:hAnsi="Book Antiqua" w:cs="Book Antiqua"/>
          <w:color w:val="000000"/>
        </w:rPr>
        <w:footnoteReference w:id="234"/>
      </w:r>
      <w:r>
        <w:rPr>
          <w:rFonts w:ascii="Book Antiqua" w:hAnsi="Book Antiqua" w:cs="Book Antiqua"/>
          <w:color w:val="000000"/>
        </w:rPr>
        <w:t xml:space="preserve"> </w:t>
      </w:r>
    </w:p>
    <w:p>
      <w:pPr>
        <w:spacing w:after="120"/>
        <w:ind w:left="720" w:hanging="12"/>
        <w:jc w:val="both"/>
        <w:rPr>
          <w:rFonts w:ascii="Book Antiqua" w:hAnsi="Book Antiqua" w:cs="Book Antiqua"/>
          <w:color w:val="000000"/>
        </w:rPr>
      </w:pPr>
      <w:r>
        <w:rPr>
          <w:rFonts w:ascii="Book Antiqua" w:hAnsi="Book Antiqua" w:cs="Book Antiqua"/>
          <w:color w:val="000000"/>
        </w:rPr>
        <w:t xml:space="preserve">En outre, sur décision motivée du Conseil de direction, un accompagnateur peut suppléer le coordonnateur dans certaines des missions qui lui sont attribuées. </w:t>
      </w:r>
      <w:r>
        <w:rPr>
          <w:rStyle w:val="Caractresdenotedebasdepage"/>
          <w:rFonts w:ascii="Book Antiqua" w:hAnsi="Book Antiqua" w:cs="Book Antiqua"/>
          <w:color w:val="000000"/>
        </w:rPr>
        <w:footnoteReference w:id="235"/>
      </w:r>
      <w:r>
        <w:rPr>
          <w:rFonts w:ascii="Book Antiqua" w:hAnsi="Book Antiqua" w:cs="Book Antiqua"/>
          <w:color w:val="000000"/>
        </w:rPr>
        <w:t xml:space="preserve"> </w:t>
      </w:r>
    </w:p>
    <w:p>
      <w:pPr>
        <w:spacing w:after="120"/>
        <w:ind w:left="709"/>
        <w:jc w:val="both"/>
        <w:rPr>
          <w:rFonts w:ascii="Book Antiqua" w:hAnsi="Book Antiqua" w:cs="Book Antiqua"/>
        </w:rPr>
      </w:pPr>
      <w:r>
        <w:rPr>
          <w:rFonts w:ascii="Book Antiqua" w:hAnsi="Book Antiqua" w:cs="Book Antiqua"/>
          <w:color w:val="000000"/>
        </w:rPr>
        <w:t xml:space="preserve">Un professeur de cours techniques et de pratique professionnelle peut aider l’accompagnateur à vérifier si les objectifs de la formation en entreprise sont atteints, dans le respect des </w:t>
      </w:r>
      <w:r>
        <w:rPr>
          <w:rFonts w:ascii="Book Antiqua" w:hAnsi="Book Antiqua" w:cs="Book Antiqua"/>
        </w:rPr>
        <w:t>dispositions reprises au point VII.</w:t>
      </w:r>
    </w:p>
    <w:p>
      <w:pPr>
        <w:pStyle w:val="niveau3"/>
      </w:pPr>
      <w:r>
        <w:br w:type="page"/>
      </w:r>
      <w:bookmarkStart w:id="115" w:name="_Toc522700831"/>
      <w:r>
        <w:lastRenderedPageBreak/>
        <w:t xml:space="preserve">IV. </w:t>
      </w:r>
      <w:r>
        <w:rPr>
          <w:u w:val="single"/>
        </w:rPr>
        <w:t>Les périodes-professeurs</w:t>
      </w:r>
      <w:bookmarkEnd w:id="115"/>
    </w:p>
    <w:p>
      <w:pPr>
        <w:numPr>
          <w:ilvl w:val="0"/>
          <w:numId w:val="42"/>
        </w:numPr>
        <w:tabs>
          <w:tab w:val="left" w:pos="709"/>
        </w:tabs>
        <w:ind w:left="567" w:hanging="283"/>
        <w:jc w:val="both"/>
        <w:rPr>
          <w:rFonts w:ascii="Book Antiqua" w:hAnsi="Book Antiqua" w:cs="Book Antiqua"/>
          <w:color w:val="000000"/>
        </w:rPr>
      </w:pPr>
      <w:r>
        <w:rPr>
          <w:rFonts w:ascii="Book Antiqua" w:hAnsi="Book Antiqua" w:cs="Book Antiqua"/>
          <w:color w:val="000000"/>
        </w:rPr>
        <w:t xml:space="preserve">Pour les 12 premiers élèves : 2,6 périodes-professeurs sont attribuées par élève ; </w:t>
      </w:r>
      <w:r>
        <w:rPr>
          <w:rStyle w:val="Caractresdenotedebasdepage"/>
          <w:rFonts w:ascii="Book Antiqua" w:hAnsi="Book Antiqua" w:cs="Book Antiqua"/>
          <w:color w:val="000000"/>
        </w:rPr>
        <w:footnoteReference w:id="236"/>
      </w:r>
      <w:r>
        <w:rPr>
          <w:rFonts w:ascii="Book Antiqua" w:hAnsi="Book Antiqua" w:cs="Book Antiqua"/>
          <w:color w:val="000000"/>
        </w:rPr>
        <w:t xml:space="preserve"> </w:t>
      </w:r>
    </w:p>
    <w:p>
      <w:pPr>
        <w:numPr>
          <w:ilvl w:val="0"/>
          <w:numId w:val="42"/>
        </w:numPr>
        <w:tabs>
          <w:tab w:val="left" w:pos="709"/>
        </w:tabs>
        <w:ind w:left="567" w:hanging="283"/>
        <w:jc w:val="both"/>
        <w:rPr>
          <w:rFonts w:ascii="Book Antiqua" w:hAnsi="Book Antiqua" w:cs="Book Antiqua"/>
          <w:color w:val="000000"/>
        </w:rPr>
      </w:pPr>
      <w:r>
        <w:rPr>
          <w:rFonts w:ascii="Book Antiqua" w:hAnsi="Book Antiqua" w:cs="Book Antiqua"/>
          <w:color w:val="000000"/>
        </w:rPr>
        <w:t xml:space="preserve">A partir du treizième élève soumis à l’obligation scolaire à temps partiel : 1,8 période-professeur par élève ; </w:t>
      </w:r>
      <w:r>
        <w:rPr>
          <w:rStyle w:val="Caractresdenotedebasdepage"/>
          <w:rFonts w:ascii="Book Antiqua" w:hAnsi="Book Antiqua" w:cs="Book Antiqua"/>
          <w:color w:val="000000"/>
        </w:rPr>
        <w:footnoteReference w:id="237"/>
      </w:r>
    </w:p>
    <w:p>
      <w:pPr>
        <w:numPr>
          <w:ilvl w:val="0"/>
          <w:numId w:val="28"/>
        </w:numPr>
        <w:tabs>
          <w:tab w:val="left" w:pos="709"/>
        </w:tabs>
        <w:ind w:left="567" w:hanging="283"/>
        <w:jc w:val="both"/>
        <w:rPr>
          <w:rFonts w:ascii="Book Antiqua" w:hAnsi="Book Antiqua" w:cs="Book Antiqua"/>
          <w:color w:val="000000"/>
        </w:rPr>
      </w:pPr>
      <w:r>
        <w:rPr>
          <w:rFonts w:ascii="Book Antiqua" w:hAnsi="Book Antiqua" w:cs="Book Antiqua"/>
          <w:color w:val="000000"/>
        </w:rPr>
        <w:t>Par élève régulier, non soumis à l’obligation scolaire à temps partiel, âgé de moins de 21 ans au 31 décembre, fréquentant l’enseignement secondaire en alternance depuis le 1</w:t>
      </w:r>
      <w:r>
        <w:rPr>
          <w:rFonts w:ascii="Book Antiqua" w:hAnsi="Book Antiqua" w:cs="Book Antiqua"/>
          <w:color w:val="000000"/>
          <w:vertAlign w:val="superscript"/>
        </w:rPr>
        <w:t>er</w:t>
      </w:r>
      <w:r>
        <w:rPr>
          <w:rFonts w:ascii="Book Antiqua" w:hAnsi="Book Antiqua" w:cs="Book Antiqua"/>
          <w:color w:val="000000"/>
        </w:rPr>
        <w:t xml:space="preserve"> octobre de l’année où il a atteint l’âge de 18 ans :</w:t>
      </w:r>
    </w:p>
    <w:p>
      <w:pPr>
        <w:numPr>
          <w:ilvl w:val="0"/>
          <w:numId w:val="16"/>
        </w:numPr>
        <w:tabs>
          <w:tab w:val="left" w:pos="709"/>
          <w:tab w:val="left" w:pos="851"/>
        </w:tabs>
        <w:ind w:left="851" w:hanging="284"/>
        <w:jc w:val="both"/>
        <w:rPr>
          <w:rFonts w:ascii="Book Antiqua" w:hAnsi="Book Antiqua" w:cs="Book Antiqua"/>
          <w:color w:val="000000"/>
        </w:rPr>
      </w:pPr>
      <w:r>
        <w:rPr>
          <w:rFonts w:ascii="Book Antiqua" w:hAnsi="Book Antiqua" w:cs="Book Antiqua"/>
          <w:color w:val="000000"/>
        </w:rPr>
        <w:t>1,7 période-professeur est attribuée s’il suit dans l’établissement siège ou dans un des établissements coopérants une formation comportant au moins 600 périodes-professeurs ;</w:t>
      </w:r>
    </w:p>
    <w:p>
      <w:pPr>
        <w:numPr>
          <w:ilvl w:val="0"/>
          <w:numId w:val="16"/>
        </w:numPr>
        <w:tabs>
          <w:tab w:val="left" w:pos="709"/>
          <w:tab w:val="left" w:pos="851"/>
        </w:tabs>
        <w:spacing w:after="120"/>
        <w:ind w:left="851" w:hanging="284"/>
        <w:jc w:val="both"/>
        <w:rPr>
          <w:rFonts w:ascii="Book Antiqua" w:hAnsi="Book Antiqua" w:cs="Book Antiqua"/>
          <w:color w:val="000000"/>
        </w:rPr>
      </w:pPr>
      <w:r>
        <w:rPr>
          <w:rFonts w:ascii="Book Antiqua" w:hAnsi="Book Antiqua" w:cs="Book Antiqua"/>
          <w:color w:val="000000"/>
        </w:rPr>
        <w:t xml:space="preserve">0,9 période-professeur est attribuée s’il suit dans l’établissement siège ou dans un des établissements coopérants une formation comportant moins de 600 périodes-professeurs. </w:t>
      </w:r>
      <w:r>
        <w:rPr>
          <w:rStyle w:val="Caractresdenotedebasdepage"/>
          <w:rFonts w:ascii="Book Antiqua" w:hAnsi="Book Antiqua" w:cs="Book Antiqua"/>
          <w:color w:val="000000"/>
        </w:rPr>
        <w:footnoteReference w:id="238"/>
      </w:r>
    </w:p>
    <w:p>
      <w:pPr>
        <w:numPr>
          <w:ilvl w:val="0"/>
          <w:numId w:val="4"/>
        </w:numPr>
        <w:tabs>
          <w:tab w:val="left" w:pos="540"/>
          <w:tab w:val="left" w:pos="709"/>
        </w:tabs>
        <w:ind w:left="567" w:hanging="283"/>
        <w:jc w:val="both"/>
        <w:rPr>
          <w:rFonts w:ascii="Book Antiqua" w:hAnsi="Book Antiqua" w:cs="Book Antiqua"/>
          <w:color w:val="000000"/>
        </w:rPr>
      </w:pPr>
      <w:r>
        <w:rPr>
          <w:rFonts w:ascii="Book Antiqua" w:hAnsi="Book Antiqua" w:cs="Book Antiqua"/>
          <w:color w:val="000000"/>
        </w:rPr>
        <w:t xml:space="preserve"> Par élève régulier, non soumis à l’obligation scolaire à temps partiel, âgé de moins de 21 ans au 31 décembre, ne fréquentant pas l’enseignement secondaire en alternance depuis le 1</w:t>
      </w:r>
      <w:r>
        <w:rPr>
          <w:rFonts w:ascii="Book Antiqua" w:hAnsi="Book Antiqua" w:cs="Book Antiqua"/>
          <w:color w:val="000000"/>
          <w:vertAlign w:val="superscript"/>
        </w:rPr>
        <w:t>er</w:t>
      </w:r>
      <w:r>
        <w:rPr>
          <w:rFonts w:ascii="Book Antiqua" w:hAnsi="Book Antiqua" w:cs="Book Antiqua"/>
          <w:color w:val="000000"/>
        </w:rPr>
        <w:t xml:space="preserve"> octobre de l’année où il a atteint l’âge de 18 ans :</w:t>
      </w:r>
    </w:p>
    <w:p>
      <w:pPr>
        <w:numPr>
          <w:ilvl w:val="0"/>
          <w:numId w:val="30"/>
        </w:numPr>
        <w:tabs>
          <w:tab w:val="left" w:pos="709"/>
          <w:tab w:val="left" w:pos="851"/>
        </w:tabs>
        <w:ind w:left="851" w:hanging="284"/>
        <w:jc w:val="both"/>
        <w:rPr>
          <w:rFonts w:ascii="Book Antiqua" w:hAnsi="Book Antiqua" w:cs="Book Antiqua"/>
          <w:color w:val="000000"/>
        </w:rPr>
      </w:pPr>
      <w:r>
        <w:rPr>
          <w:rFonts w:ascii="Book Antiqua" w:hAnsi="Book Antiqua" w:cs="Book Antiqua"/>
          <w:color w:val="000000"/>
        </w:rPr>
        <w:t>1,5 période-professeur est attribuée s’il suit dans l’établissement siège ou dans un des établissements coopérants une formation comportant au moins 600 périodes annuelles ;</w:t>
      </w:r>
    </w:p>
    <w:p>
      <w:pPr>
        <w:numPr>
          <w:ilvl w:val="0"/>
          <w:numId w:val="30"/>
        </w:numPr>
        <w:tabs>
          <w:tab w:val="left" w:pos="709"/>
          <w:tab w:val="left" w:pos="851"/>
        </w:tabs>
        <w:spacing w:after="120"/>
        <w:ind w:left="851" w:hanging="284"/>
        <w:jc w:val="both"/>
        <w:rPr>
          <w:rFonts w:ascii="Book Antiqua" w:hAnsi="Book Antiqua" w:cs="Book Antiqua"/>
          <w:color w:val="000000"/>
        </w:rPr>
      </w:pPr>
      <w:r>
        <w:rPr>
          <w:rFonts w:ascii="Book Antiqua" w:hAnsi="Book Antiqua" w:cs="Book Antiqua"/>
          <w:color w:val="000000"/>
        </w:rPr>
        <w:t xml:space="preserve">0,8 période-professeur est attribuée s’il suit dans l’établissement siège ou dans un des établissements coopérants une formation comportant moins de 600 périodes annuelles. </w:t>
      </w:r>
      <w:r>
        <w:rPr>
          <w:rStyle w:val="Caractresdenotedebasdepage"/>
          <w:rFonts w:ascii="Book Antiqua" w:hAnsi="Book Antiqua" w:cs="Book Antiqua"/>
          <w:color w:val="000000"/>
        </w:rPr>
        <w:footnoteReference w:id="239"/>
      </w:r>
    </w:p>
    <w:p>
      <w:pPr>
        <w:numPr>
          <w:ilvl w:val="0"/>
          <w:numId w:val="15"/>
        </w:numPr>
        <w:tabs>
          <w:tab w:val="left" w:pos="709"/>
          <w:tab w:val="left" w:pos="1004"/>
        </w:tabs>
        <w:ind w:left="1004" w:hanging="720"/>
        <w:jc w:val="both"/>
        <w:rPr>
          <w:rFonts w:ascii="Book Antiqua" w:hAnsi="Book Antiqua" w:cs="Book Antiqua"/>
          <w:color w:val="000000"/>
        </w:rPr>
      </w:pPr>
      <w:r>
        <w:rPr>
          <w:rFonts w:ascii="Book Antiqua" w:hAnsi="Book Antiqua" w:cs="Book Antiqua"/>
          <w:color w:val="000000"/>
        </w:rPr>
        <w:t>Par élève régulier âgé de plus de 21 ans et de moins de 25 ans au 31 décembre :</w:t>
      </w:r>
    </w:p>
    <w:p>
      <w:pPr>
        <w:numPr>
          <w:ilvl w:val="0"/>
          <w:numId w:val="2"/>
        </w:numPr>
        <w:tabs>
          <w:tab w:val="left" w:pos="709"/>
          <w:tab w:val="left" w:pos="851"/>
        </w:tabs>
        <w:ind w:left="851" w:hanging="284"/>
        <w:jc w:val="both"/>
        <w:rPr>
          <w:rFonts w:ascii="Book Antiqua" w:hAnsi="Book Antiqua" w:cs="Book Antiqua"/>
          <w:color w:val="000000"/>
        </w:rPr>
      </w:pPr>
      <w:r>
        <w:rPr>
          <w:rFonts w:ascii="Book Antiqua" w:hAnsi="Book Antiqua" w:cs="Book Antiqua"/>
          <w:color w:val="000000"/>
        </w:rPr>
        <w:t>1,5 période-professeur est attribuée s’il suit dans l’établissement siège ou dans un des établissements coopérants une formation comportant au moins 600 périodes annuelles ;</w:t>
      </w:r>
    </w:p>
    <w:p>
      <w:pPr>
        <w:numPr>
          <w:ilvl w:val="0"/>
          <w:numId w:val="2"/>
        </w:numPr>
        <w:tabs>
          <w:tab w:val="left" w:pos="709"/>
          <w:tab w:val="left" w:pos="851"/>
        </w:tabs>
        <w:spacing w:after="120"/>
        <w:ind w:left="851" w:hanging="284"/>
        <w:jc w:val="both"/>
        <w:rPr>
          <w:rFonts w:ascii="Book Antiqua" w:hAnsi="Book Antiqua" w:cs="Book Antiqua"/>
          <w:color w:val="000000"/>
        </w:rPr>
      </w:pPr>
      <w:r>
        <w:rPr>
          <w:rFonts w:ascii="Book Antiqua" w:hAnsi="Book Antiqua" w:cs="Book Antiqua"/>
          <w:color w:val="000000"/>
        </w:rPr>
        <w:t xml:space="preserve">0,8 période-professeur est attribuée s’il suit dans l’établissement siège ou dans un des établissements coopérants une formation comportant moins de 600 périodes annuelles. </w:t>
      </w:r>
      <w:r>
        <w:rPr>
          <w:rStyle w:val="Caractresdenotedebasdepage"/>
          <w:rFonts w:ascii="Book Antiqua" w:hAnsi="Book Antiqua" w:cs="Book Antiqua"/>
          <w:color w:val="000000"/>
        </w:rPr>
        <w:footnoteReference w:id="240"/>
      </w:r>
    </w:p>
    <w:p>
      <w:pPr>
        <w:ind w:left="709"/>
        <w:jc w:val="both"/>
        <w:rPr>
          <w:rFonts w:ascii="Book Antiqua" w:hAnsi="Book Antiqua" w:cs="Book Antiqua"/>
          <w:color w:val="000000"/>
        </w:rPr>
      </w:pPr>
      <w:r>
        <w:rPr>
          <w:rFonts w:ascii="Book Antiqua" w:hAnsi="Book Antiqua" w:cs="Book Antiqua"/>
          <w:color w:val="000000"/>
        </w:rPr>
        <w:t xml:space="preserve">N.B. : Les périodes d’accompagnement non utilisées à l’accompagnement peuvent être ajoutées aux périodes-professeurs à concurrence d’un maximum de 10% du total de ces périodes d’accompagnement. </w:t>
      </w:r>
      <w:r>
        <w:rPr>
          <w:rStyle w:val="Caractresdenotedebasdepage"/>
          <w:rFonts w:ascii="Book Antiqua" w:hAnsi="Book Antiqua" w:cs="Book Antiqua"/>
          <w:color w:val="000000"/>
        </w:rPr>
        <w:footnoteReference w:id="241"/>
      </w:r>
    </w:p>
    <w:p>
      <w:pPr>
        <w:pStyle w:val="Titre10"/>
        <w:ind w:left="284"/>
        <w:jc w:val="both"/>
        <w:rPr>
          <w:rFonts w:ascii="Book Antiqua" w:hAnsi="Book Antiqua" w:cs="Book Antiqua"/>
          <w:b w:val="0"/>
          <w:color w:val="000000"/>
          <w:sz w:val="20"/>
          <w:szCs w:val="20"/>
        </w:rPr>
      </w:pPr>
      <w:r>
        <w:rPr>
          <w:rFonts w:ascii="Book Antiqua" w:hAnsi="Book Antiqua" w:cs="Book Antiqua"/>
          <w:b w:val="0"/>
          <w:color w:val="000000"/>
          <w:sz w:val="20"/>
          <w:szCs w:val="20"/>
        </w:rPr>
        <w:t>Les calculs intermédiaires des périodes-professeurs se font en négligeant la troisième décimale. Chaque nombre intermédiaire est arrondi à l’unité supérieure si la première décimale est égale ou supérieure à 5, à l’unité inférieure dans les autres cas</w:t>
      </w:r>
      <w:r>
        <w:rPr>
          <w:rStyle w:val="Appelnotedebasdep"/>
          <w:rFonts w:ascii="Book Antiqua" w:hAnsi="Book Antiqua"/>
          <w:b w:val="0"/>
          <w:color w:val="000000"/>
          <w:sz w:val="20"/>
          <w:szCs w:val="20"/>
        </w:rPr>
        <w:footnoteReference w:id="242"/>
      </w:r>
      <w:r>
        <w:rPr>
          <w:rFonts w:ascii="Book Antiqua" w:hAnsi="Book Antiqua" w:cs="Book Antiqua"/>
          <w:b w:val="0"/>
          <w:color w:val="000000"/>
          <w:sz w:val="20"/>
          <w:szCs w:val="20"/>
        </w:rPr>
        <w:t>.</w:t>
      </w:r>
    </w:p>
    <w:p>
      <w:pPr>
        <w:pStyle w:val="Titre10"/>
        <w:ind w:left="284"/>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Pour le calcul des périodes-professeurs, sont pris en considération les élèves inscrits au 15 janvier de l’année scolaire précédente, qui remplissaient à cette date, pour ce qui concerne les douze mois précédents, les conditions de fréquentation régulière des cours et des stages ou conventions au sein du CEFA où ils sont inscrits. </w:t>
      </w:r>
      <w:r>
        <w:rPr>
          <w:rStyle w:val="Caractresdenotedebasdepage"/>
          <w:rFonts w:ascii="Book Antiqua" w:hAnsi="Book Antiqua" w:cs="Book Antiqua"/>
          <w:color w:val="000000"/>
          <w:sz w:val="20"/>
          <w:szCs w:val="20"/>
        </w:rPr>
        <w:footnoteReference w:id="243"/>
      </w:r>
      <w:r>
        <w:rPr>
          <w:rFonts w:ascii="Book Antiqua" w:hAnsi="Book Antiqua" w:cs="Book Antiqua"/>
          <w:b w:val="0"/>
          <w:color w:val="000000"/>
          <w:sz w:val="20"/>
          <w:szCs w:val="20"/>
        </w:rPr>
        <w:t xml:space="preserve"> </w:t>
      </w:r>
    </w:p>
    <w:p>
      <w:pPr>
        <w:tabs>
          <w:tab w:val="left" w:pos="426"/>
          <w:tab w:val="left" w:pos="3600"/>
        </w:tabs>
        <w:spacing w:before="120" w:after="120"/>
        <w:ind w:left="284"/>
        <w:jc w:val="both"/>
        <w:rPr>
          <w:rFonts w:ascii="Book Antiqua" w:hAnsi="Book Antiqua" w:cs="Book Antiqua"/>
          <w:color w:val="000000"/>
          <w:lang w:val="fr-BE"/>
        </w:rPr>
      </w:pPr>
      <w:r>
        <w:rPr>
          <w:rFonts w:ascii="Book Antiqua" w:hAnsi="Book Antiqua" w:cs="Book Antiqua"/>
        </w:rPr>
        <w:t>Par dérogation à l’alinéa précédent,</w:t>
      </w:r>
      <w:r>
        <w:rPr>
          <w:rFonts w:ascii="Book Antiqua" w:hAnsi="Book Antiqua" w:cs="Book Antiqua"/>
          <w:color w:val="000000"/>
          <w:lang w:val="fr-BE"/>
        </w:rPr>
        <w:t xml:space="preserve"> n’est </w:t>
      </w:r>
      <w:r>
        <w:rPr>
          <w:rFonts w:ascii="Book Antiqua" w:hAnsi="Book Antiqua" w:cs="Book Antiqua"/>
        </w:rPr>
        <w:t>pas</w:t>
      </w:r>
      <w:r>
        <w:rPr>
          <w:rFonts w:ascii="Book Antiqua" w:hAnsi="Book Antiqua" w:cs="Book Antiqua"/>
          <w:color w:val="000000"/>
          <w:lang w:val="fr-BE"/>
        </w:rPr>
        <w:t xml:space="preserve"> considéré comme </w:t>
      </w:r>
      <w:r>
        <w:rPr>
          <w:rFonts w:ascii="Book Antiqua" w:hAnsi="Book Antiqua" w:cs="Book Antiqua"/>
        </w:rPr>
        <w:t>inscrit</w:t>
      </w:r>
      <w:r>
        <w:rPr>
          <w:rFonts w:ascii="Book Antiqua" w:hAnsi="Book Antiqua" w:cs="Book Antiqua"/>
          <w:color w:val="000000"/>
          <w:lang w:val="fr-BE"/>
        </w:rPr>
        <w:t xml:space="preserve"> au 15 janvier de l’année précédente dans l’établissement qui l’a exclu, l’élève qui fait l’objet d’une exclusion définitive à un moment quelconque de cette année, mais bien dans celui qui, le cas échéant, l’accueille après cette décision. </w:t>
      </w:r>
      <w:r>
        <w:rPr>
          <w:rStyle w:val="Caractresdenotedebasdepage"/>
          <w:rFonts w:ascii="Book Antiqua" w:hAnsi="Book Antiqua" w:cs="Book Antiqua"/>
          <w:color w:val="000000"/>
        </w:rPr>
        <w:footnoteReference w:id="244"/>
      </w:r>
    </w:p>
    <w:p>
      <w:pPr>
        <w:tabs>
          <w:tab w:val="left" w:pos="426"/>
          <w:tab w:val="left" w:pos="3600"/>
        </w:tabs>
        <w:spacing w:before="120"/>
        <w:ind w:left="284"/>
        <w:jc w:val="both"/>
        <w:rPr>
          <w:rFonts w:ascii="Book Antiqua" w:hAnsi="Book Antiqua" w:cs="Book Antiqua"/>
          <w:color w:val="000000"/>
        </w:rPr>
      </w:pPr>
      <w:r>
        <w:rPr>
          <w:rFonts w:ascii="Book Antiqua" w:hAnsi="Book Antiqua" w:cs="Book Antiqua"/>
          <w:color w:val="000000"/>
          <w:lang w:val="fr-BE"/>
        </w:rPr>
        <w:lastRenderedPageBreak/>
        <w:t>Pour plus d’information sur ce point, il convient de consulter la circulaire n°</w:t>
      </w:r>
      <w:r>
        <w:rPr>
          <w:rFonts w:ascii="Book Antiqua" w:hAnsi="Book Antiqua" w:cs="Book Antiqua"/>
          <w:color w:val="000000"/>
        </w:rPr>
        <w:t>2020 du 6 septembre 2007 « Prise en compte des élèves exclus pour la définition du montant des dotations ou subventions et de l’encadrement ».</w:t>
      </w:r>
    </w:p>
    <w:p>
      <w:pPr>
        <w:pStyle w:val="niveau3"/>
        <w:spacing w:before="0" w:after="0"/>
        <w:rPr>
          <w:rStyle w:val="niveau3Car"/>
          <w:color w:val="000000"/>
        </w:rPr>
      </w:pPr>
    </w:p>
    <w:p>
      <w:pPr>
        <w:autoSpaceDE w:val="0"/>
        <w:autoSpaceDN w:val="0"/>
        <w:adjustRightInd w:val="0"/>
        <w:ind w:left="709"/>
        <w:jc w:val="both"/>
        <w:rPr>
          <w:rFonts w:ascii="Book Antiqua" w:hAnsi="Book Antiqua" w:cs="CenturySchoolbook"/>
        </w:rPr>
      </w:pPr>
      <w:r>
        <w:rPr>
          <w:rFonts w:ascii="Book Antiqua" w:hAnsi="Book Antiqua" w:cs="CenturySchoolbook"/>
        </w:rPr>
        <w:t>Au troisième degré de la section de qualification, dans les options de base groupées organisées dans le régime de la CPU, un complément de périodes-professeurs est alloué aux établissements d'enseignement concernés. Ces périodes ne peuvent être utilisées, dans le respect des dispositions statutaires applicables, que pour organiser la remédiation visée à l'article 3, §§ 3 et 6 du décret du 12 juillet 2012 organisant la certification par unités d'acquis d'apprentissage (CPU) dans l'enseignement secondaire qualifiant et modifiant diverses dispositions relatives à l'enseignement secondaire [remédiation immédiate et organisation de la C3D].</w:t>
      </w:r>
      <w:r>
        <w:rPr>
          <w:rStyle w:val="Appelnotedebasdep"/>
          <w:rFonts w:ascii="Book Antiqua" w:hAnsi="Book Antiqua"/>
        </w:rPr>
        <w:footnoteReference w:id="245"/>
      </w:r>
    </w:p>
    <w:p>
      <w:pPr>
        <w:autoSpaceDE w:val="0"/>
        <w:autoSpaceDN w:val="0"/>
        <w:adjustRightInd w:val="0"/>
        <w:ind w:left="708"/>
        <w:jc w:val="both"/>
        <w:rPr>
          <w:rFonts w:ascii="Book Antiqua" w:hAnsi="Book Antiqua" w:cs="CenturySchoolbook"/>
        </w:rPr>
      </w:pPr>
    </w:p>
    <w:p>
      <w:pPr>
        <w:autoSpaceDE w:val="0"/>
        <w:autoSpaceDN w:val="0"/>
        <w:adjustRightInd w:val="0"/>
        <w:ind w:left="708"/>
        <w:jc w:val="both"/>
        <w:rPr>
          <w:rFonts w:ascii="Book Antiqua" w:hAnsi="Book Antiqua" w:cs="CenturySchoolbook"/>
          <w:b/>
        </w:rPr>
      </w:pPr>
      <w:r>
        <w:rPr>
          <w:rFonts w:ascii="Book Antiqua" w:hAnsi="Book Antiqua" w:cs="CenturySchoolbook"/>
          <w:b/>
          <w:u w:val="single"/>
        </w:rPr>
        <w:t>Important</w:t>
      </w:r>
      <w:r>
        <w:rPr>
          <w:rFonts w:ascii="Book Antiqua" w:hAnsi="Book Antiqua" w:cs="CenturySchoolbook"/>
          <w:b/>
        </w:rPr>
        <w:t> : pour l’année scolaire 2018-2019, les élèves réguliers inscrits au 15 janvier 2018 en 5</w:t>
      </w:r>
      <w:r>
        <w:rPr>
          <w:rFonts w:ascii="Book Antiqua" w:hAnsi="Book Antiqua" w:cs="CenturySchoolbook"/>
          <w:b/>
          <w:vertAlign w:val="superscript"/>
        </w:rPr>
        <w:t>ème</w:t>
      </w:r>
      <w:r>
        <w:rPr>
          <w:rFonts w:ascii="Book Antiqua" w:hAnsi="Book Antiqua" w:cs="CenturySchoolbook"/>
          <w:b/>
        </w:rPr>
        <w:t xml:space="preserve"> et 6</w:t>
      </w:r>
      <w:r>
        <w:rPr>
          <w:rFonts w:ascii="Book Antiqua" w:hAnsi="Book Antiqua" w:cs="CenturySchoolbook"/>
          <w:b/>
          <w:vertAlign w:val="superscript"/>
        </w:rPr>
        <w:t>ème</w:t>
      </w:r>
      <w:r>
        <w:rPr>
          <w:rFonts w:ascii="Book Antiqua" w:hAnsi="Book Antiqua" w:cs="CenturySchoolbook"/>
          <w:b/>
        </w:rPr>
        <w:t xml:space="preserve"> année dans les options de base groupées organisées en CPU en 2017-2018 génèrent un supplément de  périodes-professeurs pour l’organisation de la remédiation immédiate. </w:t>
      </w:r>
    </w:p>
    <w:p>
      <w:pPr>
        <w:autoSpaceDE w:val="0"/>
        <w:autoSpaceDN w:val="0"/>
        <w:adjustRightInd w:val="0"/>
        <w:ind w:left="708"/>
        <w:jc w:val="both"/>
        <w:rPr>
          <w:rFonts w:ascii="Book Antiqua" w:hAnsi="Book Antiqua" w:cs="CenturySchoolbook"/>
          <w:b/>
        </w:rPr>
      </w:pPr>
    </w:p>
    <w:p>
      <w:pPr>
        <w:autoSpaceDE w:val="0"/>
        <w:autoSpaceDN w:val="0"/>
        <w:adjustRightInd w:val="0"/>
        <w:ind w:left="708"/>
        <w:jc w:val="both"/>
        <w:rPr>
          <w:rFonts w:ascii="Book Antiqua" w:hAnsi="Book Antiqua" w:cs="CenturySchoolbook"/>
          <w:b/>
        </w:rPr>
      </w:pPr>
      <w:r>
        <w:rPr>
          <w:rFonts w:ascii="Book Antiqua" w:hAnsi="Book Antiqua" w:cs="CenturySchoolbook"/>
          <w:b/>
        </w:rPr>
        <w:t>Le supplément de périodes-professeur « CPU » est de 0,45 périodes par élève</w:t>
      </w:r>
      <w:r>
        <w:rPr>
          <w:rStyle w:val="Appelnotedebasdep"/>
          <w:rFonts w:ascii="Book Antiqua" w:hAnsi="Book Antiqua"/>
          <w:b/>
        </w:rPr>
        <w:footnoteReference w:id="246"/>
      </w:r>
      <w:r>
        <w:rPr>
          <w:rFonts w:ascii="Book Antiqua" w:hAnsi="Book Antiqua" w:cs="CenturySchoolbook"/>
          <w:b/>
        </w:rPr>
        <w:t>.</w:t>
      </w:r>
    </w:p>
    <w:p>
      <w:pPr>
        <w:autoSpaceDE w:val="0"/>
        <w:autoSpaceDN w:val="0"/>
        <w:adjustRightInd w:val="0"/>
        <w:ind w:left="708"/>
        <w:jc w:val="both"/>
        <w:rPr>
          <w:rFonts w:ascii="Book Antiqua" w:hAnsi="Book Antiqua" w:cs="CenturySchoolbook"/>
          <w:b/>
        </w:rPr>
      </w:pPr>
    </w:p>
    <w:p>
      <w:pPr>
        <w:autoSpaceDE w:val="0"/>
        <w:autoSpaceDN w:val="0"/>
        <w:adjustRightInd w:val="0"/>
        <w:ind w:left="708"/>
        <w:jc w:val="both"/>
        <w:rPr>
          <w:rFonts w:ascii="Book Antiqua" w:hAnsi="Book Antiqua" w:cs="CenturySchoolbook"/>
          <w:b/>
        </w:rPr>
      </w:pPr>
      <w:r>
        <w:rPr>
          <w:rFonts w:ascii="Book Antiqua" w:hAnsi="Book Antiqua" w:cs="CenturySchoolbook"/>
          <w:b/>
        </w:rPr>
        <w:t>Sont concernées les 5 options de base groupées déjà organisées en CPU en 5</w:t>
      </w:r>
      <w:r>
        <w:rPr>
          <w:rFonts w:ascii="Book Antiqua" w:hAnsi="Book Antiqua" w:cs="CenturySchoolbook"/>
          <w:b/>
          <w:vertAlign w:val="superscript"/>
        </w:rPr>
        <w:t>e</w:t>
      </w:r>
      <w:r>
        <w:rPr>
          <w:rFonts w:ascii="Book Antiqua" w:hAnsi="Book Antiqua" w:cs="CenturySchoolbook"/>
          <w:b/>
        </w:rPr>
        <w:t xml:space="preserve"> et 6</w:t>
      </w:r>
      <w:r>
        <w:rPr>
          <w:rFonts w:ascii="Book Antiqua" w:hAnsi="Book Antiqua" w:cs="CenturySchoolbook"/>
          <w:b/>
          <w:vertAlign w:val="superscript"/>
        </w:rPr>
        <w:t>e</w:t>
      </w:r>
      <w:r>
        <w:rPr>
          <w:rFonts w:ascii="Book Antiqua" w:hAnsi="Book Antiqua" w:cs="CenturySchoolbook"/>
          <w:b/>
        </w:rPr>
        <w:t xml:space="preserve"> années (Mécanicien /Mécanicienne  d’entretien, Mécanicien polyvalent/Mécanicienne polyvalente automobile, Esthéticien/Esthéticienne, Coiffeur/Coiffeuse) ou en 5</w:t>
      </w:r>
      <w:r>
        <w:rPr>
          <w:rFonts w:ascii="Book Antiqua" w:hAnsi="Book Antiqua" w:cs="CenturySchoolbook"/>
          <w:b/>
          <w:vertAlign w:val="superscript"/>
        </w:rPr>
        <w:t>e</w:t>
      </w:r>
      <w:r>
        <w:rPr>
          <w:rFonts w:ascii="Book Antiqua" w:hAnsi="Book Antiqua" w:cs="CenturySchoolbook"/>
          <w:b/>
        </w:rPr>
        <w:t>, 6</w:t>
      </w:r>
      <w:r>
        <w:rPr>
          <w:rFonts w:ascii="Book Antiqua" w:hAnsi="Book Antiqua" w:cs="CenturySchoolbook"/>
          <w:b/>
          <w:vertAlign w:val="superscript"/>
        </w:rPr>
        <w:t>e</w:t>
      </w:r>
      <w:r>
        <w:rPr>
          <w:rFonts w:ascii="Book Antiqua" w:hAnsi="Book Antiqua" w:cs="CenturySchoolbook"/>
          <w:b/>
        </w:rPr>
        <w:t>, 7</w:t>
      </w:r>
      <w:r>
        <w:rPr>
          <w:rFonts w:ascii="Book Antiqua" w:hAnsi="Book Antiqua" w:cs="CenturySchoolbook"/>
          <w:b/>
          <w:vertAlign w:val="superscript"/>
        </w:rPr>
        <w:t>e</w:t>
      </w:r>
      <w:r>
        <w:rPr>
          <w:rFonts w:ascii="Book Antiqua" w:hAnsi="Book Antiqua" w:cs="CenturySchoolbook"/>
          <w:b/>
        </w:rPr>
        <w:t xml:space="preserve"> années (Couvreur-Etancheur/Couvreuse-Etancheuse) en 2017-2018 qui seront transformées, année par année, à partir du 1</w:t>
      </w:r>
      <w:r>
        <w:rPr>
          <w:rFonts w:ascii="Book Antiqua" w:hAnsi="Book Antiqua" w:cs="CenturySchoolbook"/>
          <w:b/>
          <w:vertAlign w:val="superscript"/>
        </w:rPr>
        <w:t>er</w:t>
      </w:r>
      <w:r>
        <w:rPr>
          <w:rFonts w:ascii="Book Antiqua" w:hAnsi="Book Antiqua" w:cs="CenturySchoolbook"/>
          <w:b/>
        </w:rPr>
        <w:t xml:space="preserve"> septembre 2018 en options ‘CPU 4-5-6’.</w:t>
      </w:r>
    </w:p>
    <w:p>
      <w:pPr>
        <w:autoSpaceDE w:val="0"/>
        <w:autoSpaceDN w:val="0"/>
        <w:adjustRightInd w:val="0"/>
        <w:ind w:left="708"/>
        <w:jc w:val="both"/>
        <w:rPr>
          <w:rFonts w:ascii="Book Antiqua" w:hAnsi="Book Antiqua" w:cs="CenturySchoolbook"/>
          <w:b/>
        </w:rPr>
      </w:pPr>
    </w:p>
    <w:p>
      <w:pPr>
        <w:autoSpaceDE w:val="0"/>
        <w:autoSpaceDN w:val="0"/>
        <w:adjustRightInd w:val="0"/>
        <w:ind w:left="708"/>
        <w:jc w:val="both"/>
        <w:rPr>
          <w:rFonts w:ascii="Book Antiqua" w:hAnsi="Book Antiqua" w:cs="CenturySchoolbook"/>
          <w:b/>
        </w:rPr>
      </w:pPr>
      <w:r>
        <w:rPr>
          <w:rFonts w:ascii="Book Antiqua" w:hAnsi="Book Antiqua" w:cs="CenturySchoolbook"/>
          <w:b/>
        </w:rPr>
        <w:t>Lorsqu'une nouvelle option entre dans le régime de la CPU en 7e année, les périodes ne sont pas allouées lors de la première année de mise en œuvre. Dès la deuxième année de mise en œuvre, les périodes sont allouées sur base de la population de la 7e année des options concernées au 15 janvier précédent, à l'exception des élèves inscrits en C3D.</w:t>
      </w:r>
    </w:p>
    <w:p>
      <w:pPr>
        <w:autoSpaceDE w:val="0"/>
        <w:autoSpaceDN w:val="0"/>
        <w:adjustRightInd w:val="0"/>
        <w:ind w:left="708"/>
        <w:jc w:val="both"/>
        <w:rPr>
          <w:rFonts w:ascii="Book Antiqua" w:hAnsi="Book Antiqua" w:cs="CenturySchoolbook"/>
          <w:b/>
        </w:rPr>
      </w:pPr>
    </w:p>
    <w:p>
      <w:pPr>
        <w:pBdr>
          <w:top w:val="single" w:sz="4" w:space="1" w:color="auto"/>
          <w:left w:val="single" w:sz="4" w:space="4" w:color="auto"/>
          <w:bottom w:val="single" w:sz="4" w:space="1" w:color="auto"/>
          <w:right w:val="single" w:sz="4" w:space="4" w:color="auto"/>
        </w:pBdr>
        <w:autoSpaceDE w:val="0"/>
        <w:autoSpaceDN w:val="0"/>
        <w:adjustRightInd w:val="0"/>
        <w:ind w:left="708"/>
        <w:jc w:val="both"/>
        <w:rPr>
          <w:rFonts w:ascii="Book Antiqua" w:hAnsi="Book Antiqua" w:cs="CenturySchoolbook"/>
          <w:b/>
        </w:rPr>
      </w:pPr>
      <w:r>
        <w:rPr>
          <w:rFonts w:ascii="Book Antiqua" w:hAnsi="Book Antiqua" w:cs="CenturySchoolbook"/>
          <w:b/>
          <w:lang w:val="fr-BE"/>
        </w:rPr>
        <w:t>Les 15 nouvelles options de base groupées qui entrent dans le nouveau régime de la ‘CPU 4-5-6’ au 1</w:t>
      </w:r>
      <w:r>
        <w:rPr>
          <w:rFonts w:ascii="Book Antiqua" w:hAnsi="Book Antiqua" w:cs="CenturySchoolbook"/>
          <w:b/>
          <w:vertAlign w:val="superscript"/>
          <w:lang w:val="fr-BE"/>
        </w:rPr>
        <w:t>er</w:t>
      </w:r>
      <w:r>
        <w:rPr>
          <w:rFonts w:ascii="Book Antiqua" w:hAnsi="Book Antiqua" w:cs="CenturySchoolbook"/>
          <w:b/>
          <w:lang w:val="fr-BE"/>
        </w:rPr>
        <w:t xml:space="preserve"> septembre 2018 ne génèreront des périodes supplémentaires qu’à partir de l’année scolaire 2019-2020 (cf. circulaire n° 6652 du 14/05/2018).</w:t>
      </w:r>
    </w:p>
    <w:p>
      <w:pPr>
        <w:pStyle w:val="niveau3"/>
        <w:spacing w:before="0" w:after="0"/>
        <w:rPr>
          <w:rStyle w:val="niveau3Car"/>
          <w:color w:val="000000"/>
        </w:rPr>
      </w:pPr>
    </w:p>
    <w:p>
      <w:pPr>
        <w:pStyle w:val="niveau3"/>
        <w:spacing w:before="0" w:after="0"/>
        <w:ind w:left="708" w:hanging="708"/>
        <w:rPr>
          <w:color w:val="000000"/>
          <w:szCs w:val="24"/>
        </w:rPr>
      </w:pPr>
      <w:bookmarkStart w:id="116" w:name="_Toc522700832"/>
      <w:r>
        <w:rPr>
          <w:rStyle w:val="niveau3Car"/>
          <w:b/>
          <w:color w:val="000000"/>
        </w:rPr>
        <w:t>V.</w:t>
      </w:r>
      <w:r>
        <w:rPr>
          <w:rStyle w:val="niveau3Car"/>
          <w:color w:val="000000"/>
        </w:rPr>
        <w:t xml:space="preserve"> </w:t>
      </w:r>
      <w:r>
        <w:rPr>
          <w:rStyle w:val="niveau3Car"/>
          <w:b/>
          <w:color w:val="000000"/>
          <w:u w:val="single"/>
        </w:rPr>
        <w:t>LE PERSONNEL AUXILIAIRE D’EDUCATION, PERSONNEL ADMINISTRATIF ET SOUS-DIRECTEUR</w:t>
      </w:r>
      <w:r>
        <w:rPr>
          <w:rStyle w:val="niveau3Car"/>
          <w:color w:val="000000"/>
        </w:rPr>
        <w:t xml:space="preserve"> </w:t>
      </w:r>
      <w:r>
        <w:rPr>
          <w:rStyle w:val="Caractresdenotedebasdepage"/>
          <w:rFonts w:cs="Book Antiqua"/>
          <w:color w:val="000000"/>
        </w:rPr>
        <w:footnoteReference w:id="247"/>
      </w:r>
      <w:bookmarkEnd w:id="116"/>
    </w:p>
    <w:p>
      <w:pPr>
        <w:spacing w:after="120"/>
        <w:ind w:left="284"/>
        <w:jc w:val="both"/>
        <w:rPr>
          <w:rFonts w:ascii="Book Antiqua" w:hAnsi="Book Antiqua" w:cs="Book Antiqua"/>
          <w:color w:val="000000"/>
        </w:rPr>
      </w:pPr>
      <w:r>
        <w:rPr>
          <w:rFonts w:ascii="Book Antiqua" w:hAnsi="Book Antiqua" w:cs="Book Antiqua"/>
          <w:color w:val="000000"/>
        </w:rPr>
        <w:t>Pour la création et/ou le maintien des emplois organiques des catégories du personnel auxiliaire d’éducation, du personnel administratif et des sous-directeurs, les élèves inscrits au 15 janvier de l’année scolaire qui précède dans l’enseignement secondaire en alternance sont pris en compte dans l’établissement d’enseignement de plein exercice où ils suivent la majorité de leur formation professionnelle. Le nombre d’élèves est affecté du coefficient 0,5.</w:t>
      </w:r>
    </w:p>
    <w:p>
      <w:pPr>
        <w:pStyle w:val="Textebrut1"/>
        <w:widowControl/>
        <w:ind w:left="284" w:firstLine="0"/>
        <w:rPr>
          <w:rFonts w:ascii="Book Antiqua" w:hAnsi="Book Antiqua" w:cs="Book Antiqua"/>
          <w:color w:val="000000"/>
          <w:lang w:val="fr-FR"/>
        </w:rPr>
      </w:pPr>
      <w:r>
        <w:rPr>
          <w:rFonts w:ascii="Book Antiqua" w:hAnsi="Book Antiqua" w:cs="Book Antiqua"/>
          <w:color w:val="000000"/>
          <w:lang w:val="fr-FR"/>
        </w:rPr>
        <w:t>Les élèves qui suivent les cours dans un établissement d'enseignement de promotion sociale sont pris en compte dans l’établissement siège du CEFA.</w:t>
      </w:r>
    </w:p>
    <w:p>
      <w:pPr>
        <w:tabs>
          <w:tab w:val="left" w:pos="426"/>
          <w:tab w:val="left" w:pos="3600"/>
        </w:tabs>
        <w:spacing w:before="120" w:after="240"/>
        <w:ind w:left="284"/>
        <w:jc w:val="both"/>
        <w:rPr>
          <w:rFonts w:ascii="Book Antiqua" w:hAnsi="Book Antiqua"/>
          <w:lang w:val="fr-BE"/>
        </w:rPr>
      </w:pPr>
      <w:r>
        <w:rPr>
          <w:rFonts w:ascii="Book Antiqua" w:hAnsi="Book Antiqua"/>
          <w:lang w:val="fr-BE"/>
        </w:rPr>
        <w:t>Soulignons que n’est plus considéré comme élève régulier au 15 janvier de l’année scolaire précédente dans l’établissement qui l’a exclu, l’élève qui fait l’objet d’une décision d’exclusion définitive à un moment quelconque de cette année, mais bien dans celui qui, le cas échéant, l’accueille après cette décision.</w:t>
      </w:r>
    </w:p>
    <w:p>
      <w:pPr>
        <w:tabs>
          <w:tab w:val="left" w:pos="426"/>
          <w:tab w:val="left" w:pos="3600"/>
        </w:tabs>
        <w:spacing w:before="120" w:after="240"/>
        <w:ind w:left="284"/>
        <w:jc w:val="both"/>
        <w:rPr>
          <w:lang w:val="fr-BE"/>
        </w:rPr>
      </w:pPr>
    </w:p>
    <w:p>
      <w:pPr>
        <w:pStyle w:val="niveau3"/>
        <w:rPr>
          <w:rStyle w:val="niveau3Car"/>
          <w:b/>
          <w:caps/>
          <w:color w:val="000000"/>
          <w:u w:val="single"/>
        </w:rPr>
      </w:pPr>
      <w:bookmarkStart w:id="117" w:name="_Toc522700833"/>
      <w:r>
        <w:rPr>
          <w:rStyle w:val="niveau3Car"/>
          <w:b/>
          <w:caps/>
          <w:color w:val="000000"/>
        </w:rPr>
        <w:t xml:space="preserve">VI. </w:t>
      </w:r>
      <w:r>
        <w:rPr>
          <w:rStyle w:val="niveau3Car"/>
          <w:b/>
          <w:caps/>
          <w:color w:val="000000"/>
        </w:rPr>
        <w:tab/>
      </w:r>
      <w:r>
        <w:rPr>
          <w:rStyle w:val="niveau3Car"/>
          <w:b/>
          <w:caps/>
          <w:color w:val="000000"/>
        </w:rPr>
        <w:tab/>
      </w:r>
      <w:r>
        <w:rPr>
          <w:rStyle w:val="niveau3Car"/>
          <w:b/>
          <w:caps/>
          <w:color w:val="000000"/>
          <w:u w:val="single"/>
        </w:rPr>
        <w:t>Le chef d’atelier et le chef de travaux d’atelier</w:t>
      </w:r>
      <w:bookmarkEnd w:id="117"/>
    </w:p>
    <w:p>
      <w:pPr>
        <w:ind w:left="284"/>
        <w:jc w:val="both"/>
        <w:rPr>
          <w:rFonts w:ascii="Book Antiqua" w:hAnsi="Book Antiqua" w:cs="Book Antiqua"/>
          <w:color w:val="000000"/>
        </w:rPr>
      </w:pPr>
      <w:r>
        <w:rPr>
          <w:rFonts w:ascii="Book Antiqua" w:hAnsi="Book Antiqua" w:cs="Book Antiqua"/>
          <w:color w:val="000000"/>
        </w:rPr>
        <w:t>Les élèves inscrits dans l’enseignement secondaire en alternance au 15 janvier de l’année scolaire qui précède sont pris en compte pour la création ou le maintien des fonctions de chef d’atelier ou de chef de travaux d’atelier dans l’établissement où ils suivent la majorité de leurs périodes de cours de pratique professionnelle</w:t>
      </w:r>
      <w:r>
        <w:rPr>
          <w:rStyle w:val="Caractresdenotedebasdepage"/>
          <w:rFonts w:ascii="Book Antiqua" w:hAnsi="Book Antiqua" w:cs="Book Antiqua"/>
          <w:color w:val="000000"/>
        </w:rPr>
        <w:footnoteReference w:id="248"/>
      </w:r>
      <w:r>
        <w:rPr>
          <w:rFonts w:ascii="Book Antiqua" w:hAnsi="Book Antiqua" w:cs="Book Antiqua"/>
          <w:color w:val="000000"/>
        </w:rPr>
        <w:t>. Le nombre d’élèves est affecté du même coefficient que celui en vigueur dans l’enseignement secondaire de plein exercice (voir tableau ci-dessous).</w:t>
      </w:r>
    </w:p>
    <w:p>
      <w:pPr>
        <w:jc w:val="both"/>
        <w:rPr>
          <w:rFonts w:ascii="Book Antiqua" w:hAnsi="Book Antiqua" w:cs="Book Antiqua"/>
          <w:color w:val="000000"/>
        </w:rPr>
      </w:pPr>
    </w:p>
    <w:tbl>
      <w:tblPr>
        <w:tblW w:w="0" w:type="auto"/>
        <w:tblInd w:w="1589" w:type="dxa"/>
        <w:tblLayout w:type="fixed"/>
        <w:tblCellMar>
          <w:left w:w="70" w:type="dxa"/>
          <w:right w:w="70" w:type="dxa"/>
        </w:tblCellMar>
        <w:tblLook w:val="0000" w:firstRow="0" w:lastRow="0" w:firstColumn="0" w:lastColumn="0" w:noHBand="0" w:noVBand="0"/>
      </w:tblPr>
      <w:tblGrid>
        <w:gridCol w:w="1531"/>
        <w:gridCol w:w="1531"/>
        <w:gridCol w:w="1531"/>
        <w:gridCol w:w="1576"/>
      </w:tblGrid>
      <w:tr>
        <w:trPr>
          <w:trHeight w:hRule="exact" w:val="600"/>
        </w:trPr>
        <w:tc>
          <w:tcPr>
            <w:tcW w:w="1531" w:type="dxa"/>
            <w:tcBorders>
              <w:top w:val="single" w:sz="4" w:space="0" w:color="auto"/>
              <w:left w:val="single" w:sz="4" w:space="0" w:color="auto"/>
              <w:bottom w:val="single" w:sz="4" w:space="0" w:color="auto"/>
              <w:right w:val="single" w:sz="4" w:space="0" w:color="auto"/>
            </w:tcBorders>
            <w:vAlign w:val="center"/>
          </w:tcPr>
          <w:p>
            <w:pPr>
              <w:snapToGrid w:val="0"/>
              <w:jc w:val="center"/>
              <w:rPr>
                <w:rFonts w:ascii="Book Antiqua" w:hAnsi="Book Antiqua" w:cs="Book Antiqua"/>
                <w:b/>
                <w:color w:val="000000"/>
                <w:lang w:val="fr-BE"/>
              </w:rPr>
            </w:pPr>
            <w:r>
              <w:rPr>
                <w:rFonts w:ascii="Book Antiqua" w:hAnsi="Book Antiqua" w:cs="Book Antiqua"/>
                <w:b/>
                <w:color w:val="000000"/>
                <w:lang w:val="fr-BE"/>
              </w:rPr>
              <w:t>Secteurs</w:t>
            </w:r>
          </w:p>
        </w:tc>
        <w:tc>
          <w:tcPr>
            <w:tcW w:w="1531" w:type="dxa"/>
            <w:tcBorders>
              <w:top w:val="single" w:sz="4" w:space="0" w:color="auto"/>
              <w:left w:val="single" w:sz="4" w:space="0" w:color="auto"/>
              <w:bottom w:val="single" w:sz="4" w:space="0" w:color="auto"/>
              <w:right w:val="single" w:sz="4" w:space="0" w:color="auto"/>
            </w:tcBorders>
            <w:vAlign w:val="center"/>
          </w:tcPr>
          <w:p>
            <w:pPr>
              <w:snapToGrid w:val="0"/>
              <w:jc w:val="center"/>
              <w:rPr>
                <w:rFonts w:ascii="Book Antiqua" w:hAnsi="Book Antiqua" w:cs="Book Antiqua"/>
                <w:b/>
                <w:color w:val="000000"/>
                <w:lang w:val="fr-BE"/>
              </w:rPr>
            </w:pPr>
            <w:r>
              <w:rPr>
                <w:rFonts w:ascii="Book Antiqua" w:hAnsi="Book Antiqua" w:cs="Book Antiqua"/>
                <w:b/>
                <w:color w:val="000000"/>
                <w:lang w:val="fr-BE"/>
              </w:rPr>
              <w:t>Groupes</w:t>
            </w:r>
          </w:p>
        </w:tc>
        <w:tc>
          <w:tcPr>
            <w:tcW w:w="1531" w:type="dxa"/>
            <w:tcBorders>
              <w:top w:val="single" w:sz="4" w:space="0" w:color="auto"/>
              <w:left w:val="single" w:sz="4" w:space="0" w:color="auto"/>
              <w:bottom w:val="single" w:sz="4" w:space="0" w:color="auto"/>
              <w:right w:val="single" w:sz="4" w:space="0" w:color="auto"/>
            </w:tcBorders>
            <w:vAlign w:val="center"/>
          </w:tcPr>
          <w:p>
            <w:pPr>
              <w:snapToGrid w:val="0"/>
              <w:jc w:val="center"/>
              <w:rPr>
                <w:rFonts w:ascii="Book Antiqua" w:hAnsi="Book Antiqua" w:cs="Book Antiqua"/>
                <w:b/>
                <w:color w:val="000000"/>
                <w:lang w:val="fr-BE"/>
              </w:rPr>
            </w:pPr>
            <w:r>
              <w:rPr>
                <w:rFonts w:ascii="Book Antiqua" w:hAnsi="Book Antiqua" w:cs="Book Antiqua"/>
                <w:b/>
                <w:color w:val="000000"/>
                <w:lang w:val="fr-BE"/>
              </w:rPr>
              <w:t>Technique de qualification</w:t>
            </w:r>
          </w:p>
        </w:tc>
        <w:tc>
          <w:tcPr>
            <w:tcW w:w="1576" w:type="dxa"/>
            <w:tcBorders>
              <w:top w:val="single" w:sz="4" w:space="0" w:color="auto"/>
              <w:left w:val="single" w:sz="4" w:space="0" w:color="auto"/>
              <w:bottom w:val="single" w:sz="4" w:space="0" w:color="auto"/>
              <w:right w:val="single" w:sz="4" w:space="0" w:color="auto"/>
            </w:tcBorders>
            <w:vAlign w:val="center"/>
          </w:tcPr>
          <w:p>
            <w:pPr>
              <w:snapToGrid w:val="0"/>
              <w:jc w:val="center"/>
              <w:rPr>
                <w:rFonts w:ascii="Book Antiqua" w:hAnsi="Book Antiqua" w:cs="Book Antiqua"/>
                <w:b/>
                <w:color w:val="000000"/>
                <w:lang w:val="fr-BE"/>
              </w:rPr>
            </w:pPr>
            <w:r>
              <w:rPr>
                <w:rFonts w:ascii="Book Antiqua" w:hAnsi="Book Antiqua" w:cs="Book Antiqua"/>
                <w:b/>
                <w:color w:val="000000"/>
                <w:lang w:val="fr-BE"/>
              </w:rPr>
              <w:t>Professionnel</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1,3</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2</w:t>
            </w:r>
          </w:p>
        </w:tc>
        <w:tc>
          <w:tcPr>
            <w:tcW w:w="1531" w:type="dxa"/>
            <w:tcBorders>
              <w:top w:val="single" w:sz="4" w:space="0" w:color="auto"/>
              <w:left w:val="single" w:sz="4" w:space="0" w:color="auto"/>
              <w:bottom w:val="single" w:sz="4" w:space="0" w:color="auto"/>
              <w:right w:val="single" w:sz="4" w:space="0" w:color="auto"/>
            </w:tcBorders>
          </w:tcPr>
          <w:p>
            <w:pPr>
              <w:pStyle w:val="Titre2"/>
              <w:snapToGrid w:val="0"/>
              <w:rPr>
                <w:rFonts w:ascii="Book Antiqua" w:hAnsi="Book Antiqua" w:cs="Book Antiqua"/>
                <w:color w:val="000000"/>
                <w:sz w:val="20"/>
                <w:szCs w:val="20"/>
                <w:u w:val="none"/>
                <w:lang w:val="fr-BE"/>
              </w:rPr>
            </w:pPr>
            <w:r>
              <w:rPr>
                <w:rFonts w:ascii="Book Antiqua" w:hAnsi="Book Antiqua" w:cs="Book Antiqua"/>
                <w:color w:val="000000"/>
                <w:sz w:val="20"/>
                <w:szCs w:val="20"/>
                <w:u w:val="none"/>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1,5</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3</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1,4</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4</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1,4</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5</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1,2</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6</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61, 63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6</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62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6</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64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7</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8</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81, 82, 84</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8</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83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1,2</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9</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r>
      <w:tr>
        <w:tc>
          <w:tcPr>
            <w:tcW w:w="3062" w:type="dxa"/>
            <w:gridSpan w:val="2"/>
            <w:tcBorders>
              <w:top w:val="single" w:sz="4" w:space="0" w:color="auto"/>
              <w:left w:val="single" w:sz="4" w:space="0" w:color="auto"/>
              <w:bottom w:val="single" w:sz="4" w:space="0" w:color="auto"/>
              <w:right w:val="single" w:sz="4" w:space="0" w:color="auto"/>
            </w:tcBorders>
          </w:tcPr>
          <w:p>
            <w:pPr>
              <w:snapToGrid w:val="0"/>
              <w:ind w:left="213"/>
              <w:rPr>
                <w:rFonts w:ascii="Book Antiqua" w:hAnsi="Book Antiqua" w:cs="Book Antiqua"/>
                <w:color w:val="000000"/>
                <w:lang w:val="fr-BE"/>
              </w:rPr>
            </w:pPr>
            <w:r>
              <w:rPr>
                <w:rFonts w:ascii="Book Antiqua" w:hAnsi="Book Antiqua" w:cs="Book Antiqua"/>
                <w:color w:val="000000"/>
                <w:lang w:val="fr-BE"/>
              </w:rPr>
              <w:t>Article 45 – Habillement</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1,2</w:t>
            </w:r>
          </w:p>
        </w:tc>
      </w:tr>
      <w:tr>
        <w:tc>
          <w:tcPr>
            <w:tcW w:w="3062" w:type="dxa"/>
            <w:gridSpan w:val="2"/>
            <w:tcBorders>
              <w:top w:val="single" w:sz="4" w:space="0" w:color="auto"/>
              <w:left w:val="single" w:sz="4" w:space="0" w:color="auto"/>
              <w:bottom w:val="single" w:sz="4" w:space="0" w:color="auto"/>
              <w:right w:val="single" w:sz="4" w:space="0" w:color="auto"/>
            </w:tcBorders>
          </w:tcPr>
          <w:p>
            <w:pPr>
              <w:snapToGrid w:val="0"/>
              <w:ind w:left="213"/>
              <w:rPr>
                <w:rFonts w:ascii="Book Antiqua" w:hAnsi="Book Antiqua" w:cs="Book Antiqua"/>
                <w:color w:val="000000"/>
                <w:lang w:val="fr-BE"/>
              </w:rPr>
            </w:pPr>
            <w:r>
              <w:rPr>
                <w:rFonts w:ascii="Book Antiqua" w:hAnsi="Book Antiqua" w:cs="Book Antiqua"/>
                <w:color w:val="000000"/>
                <w:lang w:val="fr-BE"/>
              </w:rPr>
              <w:t>Article 45 – Arts décoratifs</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r>
    </w:tbl>
    <w:p>
      <w:pPr>
        <w:spacing w:before="120" w:after="120"/>
        <w:ind w:left="284"/>
        <w:jc w:val="both"/>
        <w:rPr>
          <w:rFonts w:ascii="Book Antiqua" w:hAnsi="Book Antiqua" w:cs="Book Antiqua"/>
          <w:color w:val="000000"/>
        </w:rPr>
      </w:pPr>
    </w:p>
    <w:p>
      <w:pPr>
        <w:spacing w:before="120" w:after="120"/>
        <w:ind w:left="284"/>
        <w:jc w:val="both"/>
        <w:rPr>
          <w:rFonts w:ascii="Book Antiqua" w:hAnsi="Book Antiqua" w:cs="Book Antiqua"/>
          <w:iCs/>
          <w:color w:val="000000"/>
        </w:rPr>
      </w:pPr>
      <w:r>
        <w:rPr>
          <w:rFonts w:ascii="Book Antiqua" w:hAnsi="Book Antiqua" w:cs="Book Antiqua"/>
          <w:color w:val="000000"/>
        </w:rPr>
        <w:t xml:space="preserve">Cette disposition n’est cependant pas applicable aux établissements d’enseignement de promotion sociale qui dispensent des cours de pratique professionnelle à des élèves de l’enseignement secondaire en alternance, ni aux établissements de l’enseignement secondaire spécialisé. </w:t>
      </w:r>
      <w:r>
        <w:rPr>
          <w:rStyle w:val="Caractresdenotedebasdepage"/>
          <w:rFonts w:ascii="Book Antiqua" w:hAnsi="Book Antiqua" w:cs="Book Antiqua"/>
          <w:color w:val="000000"/>
        </w:rPr>
        <w:footnoteReference w:id="249"/>
      </w:r>
    </w:p>
    <w:p>
      <w:pPr>
        <w:tabs>
          <w:tab w:val="left" w:pos="567"/>
        </w:tabs>
        <w:spacing w:after="120"/>
        <w:ind w:left="851" w:hanging="567"/>
        <w:jc w:val="both"/>
        <w:rPr>
          <w:rFonts w:ascii="Book Antiqua" w:hAnsi="Book Antiqua" w:cs="Book Antiqua"/>
          <w:color w:val="000000"/>
        </w:rPr>
      </w:pPr>
      <w:r>
        <w:rPr>
          <w:rFonts w:ascii="Book Antiqua" w:hAnsi="Book Antiqua" w:cs="Book Antiqua"/>
          <w:iCs/>
          <w:color w:val="000000"/>
        </w:rPr>
        <w:t>N.B.</w:t>
      </w:r>
      <w:r>
        <w:rPr>
          <w:rFonts w:ascii="Book Antiqua" w:hAnsi="Book Antiqua" w:cs="Book Antiqua"/>
          <w:i/>
          <w:color w:val="000000"/>
        </w:rPr>
        <w:t> </w:t>
      </w:r>
      <w:r>
        <w:rPr>
          <w:rFonts w:ascii="Book Antiqua" w:hAnsi="Book Antiqua" w:cs="Book Antiqua"/>
          <w:color w:val="000000"/>
        </w:rPr>
        <w:tab/>
        <w:t>Les élèves inscrits en alternance sont ainsi comptabilisés dans l'établissement où ils suivent la majorité de leurs périodes de cours de pratique professionnelle.</w:t>
      </w:r>
    </w:p>
    <w:p>
      <w:pPr>
        <w:tabs>
          <w:tab w:val="left" w:pos="426"/>
          <w:tab w:val="left" w:pos="3600"/>
        </w:tabs>
        <w:spacing w:before="120" w:after="240"/>
        <w:ind w:left="284"/>
        <w:jc w:val="both"/>
        <w:rPr>
          <w:rFonts w:ascii="Book Antiqua" w:hAnsi="Book Antiqua" w:cs="Book Antiqua"/>
          <w:color w:val="000000"/>
          <w:lang w:val="fr-BE"/>
        </w:rPr>
      </w:pPr>
      <w:r>
        <w:rPr>
          <w:rFonts w:ascii="Book Antiqua" w:hAnsi="Book Antiqua" w:cs="Book Antiqua"/>
          <w:color w:val="000000"/>
          <w:lang w:val="fr-BE"/>
        </w:rPr>
        <w:t xml:space="preserve">Soulignons que n’est plus considéré comme élève régulier au 15 janvier de l’année scolaire précédente dans l’établissement qui l’a exclu, l’élève qui fait l’objet d’une décision d’exclusion définitive à un moment quelconque de cette année, mais bien dans celui qui, le cas échéant, l’accueille après cette décision. </w:t>
      </w:r>
    </w:p>
    <w:p>
      <w:pPr>
        <w:tabs>
          <w:tab w:val="left" w:pos="426"/>
          <w:tab w:val="left" w:pos="3600"/>
        </w:tabs>
        <w:spacing w:before="120" w:after="240"/>
        <w:ind w:left="284"/>
        <w:jc w:val="both"/>
        <w:rPr>
          <w:rFonts w:ascii="Book Antiqua" w:hAnsi="Book Antiqua" w:cs="Book Antiqua"/>
          <w:color w:val="000000"/>
          <w:lang w:val="fr-BE"/>
        </w:rPr>
      </w:pPr>
    </w:p>
    <w:p>
      <w:pPr>
        <w:pStyle w:val="niveau3"/>
        <w:rPr>
          <w:rStyle w:val="niveau3Car"/>
          <w:b/>
          <w:caps/>
          <w:color w:val="000000"/>
          <w:u w:val="single"/>
        </w:rPr>
      </w:pPr>
      <w:bookmarkStart w:id="118" w:name="_Toc522700834"/>
      <w:r>
        <w:rPr>
          <w:rStyle w:val="niveau3Car"/>
          <w:b/>
          <w:caps/>
          <w:color w:val="000000"/>
        </w:rPr>
        <w:t xml:space="preserve">VII. </w:t>
      </w:r>
      <w:r>
        <w:rPr>
          <w:rStyle w:val="niveau3Car"/>
          <w:b/>
          <w:caps/>
          <w:color w:val="000000"/>
          <w:u w:val="single"/>
        </w:rPr>
        <w:t>La charge d’un professeur de pratique professionnelle (PP)</w:t>
      </w:r>
      <w:bookmarkEnd w:id="118"/>
    </w:p>
    <w:p>
      <w:pPr>
        <w:pStyle w:val="Retraitcorpsdetexte21"/>
        <w:spacing w:before="0" w:after="120"/>
        <w:ind w:left="284"/>
        <w:rPr>
          <w:rFonts w:ascii="Book Antiqua" w:hAnsi="Book Antiqua" w:cs="Book Antiqua"/>
          <w:color w:val="000000"/>
        </w:rPr>
      </w:pPr>
      <w:r>
        <w:rPr>
          <w:rFonts w:ascii="Book Antiqua" w:hAnsi="Book Antiqua" w:cs="Book Antiqua"/>
          <w:color w:val="000000"/>
          <w:sz w:val="20"/>
          <w:szCs w:val="20"/>
        </w:rPr>
        <w:t xml:space="preserve">Les prestations horaires des professeurs de pratique professionnelle (PP) en alternance sont identiques à celles des professeurs de pratique professionnelle (PP) dans le plein exercice. </w:t>
      </w:r>
      <w:r>
        <w:rPr>
          <w:rStyle w:val="Caractresdenotedebasdepage"/>
          <w:rFonts w:ascii="Book Antiqua" w:hAnsi="Book Antiqua" w:cs="Book Antiqua"/>
          <w:color w:val="000000"/>
          <w:sz w:val="20"/>
          <w:szCs w:val="20"/>
        </w:rPr>
        <w:footnoteReference w:id="250"/>
      </w:r>
    </w:p>
    <w:p>
      <w:pPr>
        <w:spacing w:after="120"/>
        <w:ind w:left="284"/>
        <w:jc w:val="both"/>
        <w:rPr>
          <w:rFonts w:ascii="Book Antiqua" w:hAnsi="Book Antiqua" w:cs="Book Antiqua"/>
          <w:color w:val="000000"/>
        </w:rPr>
      </w:pPr>
      <w:r>
        <w:rPr>
          <w:rFonts w:ascii="Book Antiqua" w:hAnsi="Book Antiqua" w:cs="Book Antiqua"/>
          <w:color w:val="000000"/>
        </w:rPr>
        <w:t>Toutefois, dans le calcul de l’encadrement, une charge à prestations complètes comporte le même nombre de périodes que celui requis pour une fonction de professeur de cours généraux, à prestations complètes, dans l’enseignement de plein exercice</w:t>
      </w:r>
      <w:r>
        <w:rPr>
          <w:rStyle w:val="Caractresdenotedebasdepage"/>
          <w:rFonts w:ascii="Book Antiqua" w:hAnsi="Book Antiqua" w:cs="Book Antiqua"/>
          <w:color w:val="000000"/>
        </w:rPr>
        <w:footnoteReference w:id="251"/>
      </w:r>
      <w:r>
        <w:rPr>
          <w:rFonts w:ascii="Book Antiqua" w:hAnsi="Book Antiqua" w:cs="Book Antiqua"/>
          <w:color w:val="000000"/>
        </w:rPr>
        <w:t>.</w:t>
      </w:r>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lastRenderedPageBreak/>
        <w:t>La différence éventuelle entre le nombre des périodes déterminé par les prestations horaires (alinéa 1) et le nombre des périodes déterminé par le calcul de l’encadrement (alinéa 2) est consacré à des périodes permettant d’assurer l’organisation des périodes complémentaires de formation professionnelle, l’organisation de modules de formation individualisés et la coordination de la formation pratique avec les cours généraux, les cours techniques et les formations en entreprise</w:t>
      </w:r>
      <w:r>
        <w:rPr>
          <w:rStyle w:val="Caractresdenotedebasdepage"/>
          <w:rFonts w:ascii="Book Antiqua" w:hAnsi="Book Antiqua" w:cs="Book Antiqua"/>
          <w:color w:val="000000"/>
          <w:sz w:val="20"/>
          <w:szCs w:val="20"/>
        </w:rPr>
        <w:footnoteReference w:id="252"/>
      </w:r>
      <w:r>
        <w:rPr>
          <w:rFonts w:ascii="Book Antiqua" w:hAnsi="Book Antiqua" w:cs="Book Antiqua"/>
          <w:color w:val="000000"/>
          <w:sz w:val="20"/>
          <w:szCs w:val="20"/>
        </w:rPr>
        <w:t>.</w:t>
      </w:r>
    </w:p>
    <w:p>
      <w:pPr>
        <w:spacing w:after="120"/>
        <w:ind w:left="284"/>
        <w:jc w:val="both"/>
        <w:rPr>
          <w:rFonts w:ascii="Book Antiqua" w:hAnsi="Book Antiqua" w:cs="Book Antiqua"/>
          <w:color w:val="000000"/>
        </w:rPr>
      </w:pPr>
      <w:r>
        <w:rPr>
          <w:rFonts w:ascii="Book Antiqua" w:hAnsi="Book Antiqua" w:cs="Book Antiqua"/>
          <w:color w:val="000000"/>
        </w:rPr>
        <w:t>Ainsi, un professeur de pratique professionnelle dans l'enseignement en alternance fonctionne selon le tableau suivant :</w:t>
      </w:r>
    </w:p>
    <w:p>
      <w:pPr>
        <w:spacing w:line="120" w:lineRule="auto"/>
        <w:ind w:left="284"/>
        <w:jc w:val="both"/>
        <w:rPr>
          <w:rFonts w:ascii="Book Antiqua" w:hAnsi="Book Antiqua" w:cs="Book Antiqua"/>
          <w:i/>
          <w:color w:val="000000"/>
        </w:rPr>
      </w:pPr>
    </w:p>
    <w:tbl>
      <w:tblPr>
        <w:tblW w:w="0" w:type="auto"/>
        <w:tblInd w:w="354" w:type="dxa"/>
        <w:tblLayout w:type="fixed"/>
        <w:tblCellMar>
          <w:left w:w="70" w:type="dxa"/>
          <w:right w:w="70" w:type="dxa"/>
        </w:tblCellMar>
        <w:tblLook w:val="0000" w:firstRow="0" w:lastRow="0" w:firstColumn="0" w:lastColumn="0" w:noHBand="0" w:noVBand="0"/>
      </w:tblPr>
      <w:tblGrid>
        <w:gridCol w:w="1559"/>
        <w:gridCol w:w="1134"/>
        <w:gridCol w:w="3119"/>
        <w:gridCol w:w="2976"/>
      </w:tblGrid>
      <w:tr>
        <w:tc>
          <w:tcPr>
            <w:tcW w:w="1559"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Classification</w:t>
            </w:r>
          </w:p>
        </w:tc>
        <w:tc>
          <w:tcPr>
            <w:tcW w:w="1134"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Niveau</w:t>
            </w:r>
          </w:p>
        </w:tc>
        <w:tc>
          <w:tcPr>
            <w:tcW w:w="3119"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 xml:space="preserve">Périodes imputées sur le volume de périodes disponibles pour l’encadrement </w:t>
            </w:r>
          </w:p>
        </w:tc>
        <w:tc>
          <w:tcPr>
            <w:tcW w:w="2976"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Prestations effectivement fournies</w:t>
            </w:r>
          </w:p>
        </w:tc>
      </w:tr>
      <w:tr>
        <w:trPr>
          <w:cantSplit/>
        </w:trPr>
        <w:tc>
          <w:tcPr>
            <w:tcW w:w="1559" w:type="dxa"/>
            <w:vMerge w:val="restart"/>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lang w:val="de-DE"/>
              </w:rPr>
            </w:pPr>
            <w:r>
              <w:rPr>
                <w:rFonts w:ascii="Book Antiqua" w:hAnsi="Book Antiqua" w:cs="Book Antiqua"/>
                <w:color w:val="000000"/>
                <w:lang w:val="de-DE"/>
              </w:rPr>
              <w:t>PP</w:t>
            </w:r>
          </w:p>
        </w:tc>
        <w:tc>
          <w:tcPr>
            <w:tcW w:w="1134" w:type="dxa"/>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lang w:val="de-DE"/>
              </w:rPr>
            </w:pPr>
            <w:r>
              <w:rPr>
                <w:rFonts w:ascii="Book Antiqua" w:hAnsi="Book Antiqua" w:cs="Book Antiqua"/>
                <w:color w:val="000000"/>
                <w:lang w:val="de-DE"/>
              </w:rPr>
              <w:t>D2</w:t>
            </w:r>
          </w:p>
        </w:tc>
        <w:tc>
          <w:tcPr>
            <w:tcW w:w="3119"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lang w:val="de-DE"/>
              </w:rPr>
            </w:pPr>
            <w:r>
              <w:rPr>
                <w:rFonts w:ascii="Book Antiqua" w:hAnsi="Book Antiqua" w:cs="Book Antiqua"/>
                <w:color w:val="000000"/>
                <w:lang w:val="de-DE"/>
              </w:rPr>
              <w:t>22</w:t>
            </w:r>
          </w:p>
        </w:tc>
        <w:tc>
          <w:tcPr>
            <w:tcW w:w="2976"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lang w:val="de-DE"/>
              </w:rPr>
            </w:pPr>
            <w:r>
              <w:rPr>
                <w:rFonts w:ascii="Book Antiqua" w:hAnsi="Book Antiqua" w:cs="Book Antiqua"/>
                <w:color w:val="000000"/>
                <w:lang w:val="de-DE"/>
              </w:rPr>
              <w:t>30</w:t>
            </w:r>
          </w:p>
        </w:tc>
      </w:tr>
      <w:tr>
        <w:trPr>
          <w:cantSplit/>
        </w:trPr>
        <w:tc>
          <w:tcPr>
            <w:tcW w:w="1559" w:type="dxa"/>
            <w:vMerge/>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lang w:val="de-DE"/>
              </w:rPr>
            </w:pPr>
          </w:p>
        </w:tc>
        <w:tc>
          <w:tcPr>
            <w:tcW w:w="1134" w:type="dxa"/>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lang w:val="de-DE"/>
              </w:rPr>
            </w:pPr>
            <w:r>
              <w:rPr>
                <w:rFonts w:ascii="Book Antiqua" w:hAnsi="Book Antiqua" w:cs="Book Antiqua"/>
                <w:color w:val="000000"/>
                <w:lang w:val="de-DE"/>
              </w:rPr>
              <w:t>D3</w:t>
            </w:r>
          </w:p>
        </w:tc>
        <w:tc>
          <w:tcPr>
            <w:tcW w:w="3119"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20</w:t>
            </w:r>
          </w:p>
        </w:tc>
        <w:tc>
          <w:tcPr>
            <w:tcW w:w="2976"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30</w:t>
            </w:r>
          </w:p>
        </w:tc>
      </w:tr>
    </w:tbl>
    <w:p>
      <w:pPr>
        <w:pStyle w:val="Retraitcorpsdetexte21"/>
        <w:spacing w:after="120"/>
        <w:ind w:left="284"/>
        <w:rPr>
          <w:rFonts w:ascii="Book Antiqua" w:hAnsi="Book Antiqua" w:cs="Book Antiqua"/>
          <w:color w:val="000000"/>
          <w:sz w:val="20"/>
          <w:szCs w:val="20"/>
        </w:rPr>
      </w:pPr>
      <w:r>
        <w:rPr>
          <w:rFonts w:ascii="Book Antiqua" w:hAnsi="Book Antiqua" w:cs="Book Antiqua"/>
          <w:color w:val="000000"/>
          <w:sz w:val="20"/>
          <w:szCs w:val="20"/>
        </w:rPr>
        <w:t>Le complément de périodes à fournir en dehors des périodes de cours effectives est déterminé au prorata des prestations « cours » du membre du personnel.</w:t>
      </w:r>
    </w:p>
    <w:p>
      <w:pPr>
        <w:pStyle w:val="Retraitcorpsdetexte21"/>
        <w:spacing w:before="0" w:after="240"/>
        <w:ind w:hanging="425"/>
        <w:rPr>
          <w:rFonts w:ascii="Book Antiqua" w:hAnsi="Book Antiqua" w:cs="Book Antiqua"/>
          <w:color w:val="000000"/>
          <w:sz w:val="20"/>
          <w:szCs w:val="20"/>
        </w:rPr>
      </w:pPr>
      <w:r>
        <w:rPr>
          <w:rFonts w:ascii="Book Antiqua" w:hAnsi="Book Antiqua" w:cs="Book Antiqua"/>
          <w:color w:val="000000"/>
          <w:sz w:val="20"/>
          <w:szCs w:val="20"/>
        </w:rPr>
        <w:t>Exemple pour les professeurs de pratique professionnelle :</w:t>
      </w:r>
    </w:p>
    <w:tbl>
      <w:tblPr>
        <w:tblW w:w="8935" w:type="dxa"/>
        <w:tblInd w:w="349" w:type="dxa"/>
        <w:tblLayout w:type="fixed"/>
        <w:tblCellMar>
          <w:left w:w="70" w:type="dxa"/>
          <w:right w:w="70" w:type="dxa"/>
        </w:tblCellMar>
        <w:tblLook w:val="0000" w:firstRow="0" w:lastRow="0" w:firstColumn="0" w:lastColumn="0" w:noHBand="0" w:noVBand="0"/>
      </w:tblPr>
      <w:tblGrid>
        <w:gridCol w:w="2055"/>
        <w:gridCol w:w="2409"/>
        <w:gridCol w:w="2409"/>
        <w:gridCol w:w="2062"/>
      </w:tblGrid>
      <w:tr>
        <w:trPr>
          <w:cantSplit/>
        </w:trPr>
        <w:tc>
          <w:tcPr>
            <w:tcW w:w="4464" w:type="dxa"/>
            <w:gridSpan w:val="2"/>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Deuxième degré</w:t>
            </w:r>
          </w:p>
        </w:tc>
        <w:tc>
          <w:tcPr>
            <w:tcW w:w="4471" w:type="dxa"/>
            <w:gridSpan w:val="2"/>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Troisième degré</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Prestations « cours »</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Prestations « compléments »</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Prestations « cours »</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Prestations « compléments »</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 à 2</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 à 2</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3 à 5</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2</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3 à 4</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2</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6 à 8</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3</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5 à 6</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3</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9 à 11</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4</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7 à 8</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4</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12 à 13</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5</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9 à 10</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5</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14 à 16</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6</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11 à 12</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6</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17 à 19</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7</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13 à 14</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7</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20 à 22</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8</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15 à 16</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8</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17 à 18</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9</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19 à 20</w:t>
            </w:r>
          </w:p>
        </w:tc>
        <w:tc>
          <w:tcPr>
            <w:tcW w:w="2062"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10</w:t>
            </w:r>
          </w:p>
        </w:tc>
      </w:tr>
    </w:tbl>
    <w:p>
      <w:pPr>
        <w:pStyle w:val="Retraitcorpsdetexte21"/>
        <w:spacing w:after="120"/>
        <w:ind w:left="284"/>
        <w:rPr>
          <w:rFonts w:ascii="Book Antiqua" w:hAnsi="Book Antiqua" w:cs="Book Antiqua"/>
          <w:color w:val="000000"/>
          <w:sz w:val="20"/>
          <w:szCs w:val="20"/>
        </w:rPr>
      </w:pPr>
    </w:p>
    <w:p>
      <w:pPr>
        <w:pStyle w:val="Retraitcorpsdetexte21"/>
        <w:spacing w:after="120"/>
        <w:ind w:left="284"/>
        <w:rPr>
          <w:rFonts w:ascii="Book Antiqua" w:hAnsi="Book Antiqua" w:cs="Book Antiqua"/>
          <w:color w:val="000000"/>
          <w:sz w:val="20"/>
          <w:szCs w:val="20"/>
        </w:rPr>
      </w:pPr>
      <w:r>
        <w:rPr>
          <w:rFonts w:ascii="Book Antiqua" w:hAnsi="Book Antiqua" w:cs="Book Antiqua"/>
          <w:color w:val="000000"/>
          <w:sz w:val="20"/>
          <w:szCs w:val="20"/>
        </w:rPr>
        <w:t>Par ailleurs, un membre du personnel dont la charge serait répartie entre de la pratique professionnelle (PP) et des cours techniques (CT), effectuera un complément de prestation à concurrence du nombre de périodes de PP :</w:t>
      </w:r>
    </w:p>
    <w:p>
      <w:pPr>
        <w:pStyle w:val="Retraitcorpsdetexte21"/>
        <w:spacing w:after="120"/>
        <w:ind w:left="992" w:firstLine="424"/>
        <w:rPr>
          <w:rFonts w:ascii="Book Antiqua" w:hAnsi="Book Antiqua" w:cs="Book Antiqua"/>
          <w:color w:val="000000"/>
          <w:sz w:val="20"/>
          <w:szCs w:val="20"/>
        </w:rPr>
      </w:pPr>
      <w:r>
        <w:rPr>
          <w:rFonts w:ascii="Book Antiqua" w:hAnsi="Book Antiqua" w:cs="Book Antiqua"/>
          <w:color w:val="000000"/>
          <w:sz w:val="20"/>
          <w:szCs w:val="20"/>
        </w:rPr>
        <w:t xml:space="preserve">10 </w:t>
      </w:r>
      <w:proofErr w:type="spellStart"/>
      <w:r>
        <w:rPr>
          <w:rFonts w:ascii="Book Antiqua" w:hAnsi="Book Antiqua" w:cs="Book Antiqua"/>
          <w:color w:val="000000"/>
          <w:sz w:val="20"/>
          <w:szCs w:val="20"/>
        </w:rPr>
        <w:t>pér</w:t>
      </w:r>
      <w:proofErr w:type="spellEnd"/>
      <w:r>
        <w:rPr>
          <w:rFonts w:ascii="Book Antiqua" w:hAnsi="Book Antiqua" w:cs="Book Antiqua"/>
          <w:color w:val="000000"/>
          <w:sz w:val="20"/>
          <w:szCs w:val="20"/>
        </w:rPr>
        <w:t xml:space="preserve">. PP + 10 </w:t>
      </w:r>
      <w:proofErr w:type="spellStart"/>
      <w:r>
        <w:rPr>
          <w:rFonts w:ascii="Book Antiqua" w:hAnsi="Book Antiqua" w:cs="Book Antiqua"/>
          <w:color w:val="000000"/>
          <w:sz w:val="20"/>
          <w:szCs w:val="20"/>
        </w:rPr>
        <w:t>pér</w:t>
      </w:r>
      <w:proofErr w:type="spellEnd"/>
      <w:r>
        <w:rPr>
          <w:rFonts w:ascii="Book Antiqua" w:hAnsi="Book Antiqua" w:cs="Book Antiqua"/>
          <w:color w:val="000000"/>
          <w:sz w:val="20"/>
          <w:szCs w:val="20"/>
        </w:rPr>
        <w:t xml:space="preserve">. CT =&gt; 4 </w:t>
      </w:r>
      <w:proofErr w:type="spellStart"/>
      <w:r>
        <w:rPr>
          <w:rFonts w:ascii="Book Antiqua" w:hAnsi="Book Antiqua" w:cs="Book Antiqua"/>
          <w:color w:val="000000"/>
          <w:sz w:val="20"/>
          <w:szCs w:val="20"/>
        </w:rPr>
        <w:t>pér</w:t>
      </w:r>
      <w:proofErr w:type="spellEnd"/>
      <w:r>
        <w:rPr>
          <w:rFonts w:ascii="Book Antiqua" w:hAnsi="Book Antiqua" w:cs="Book Antiqua"/>
          <w:color w:val="000000"/>
          <w:sz w:val="20"/>
          <w:szCs w:val="20"/>
        </w:rPr>
        <w:t>. de PP en complément.</w:t>
      </w:r>
    </w:p>
    <w:p>
      <w:pPr>
        <w:pStyle w:val="Retraitcorpsdetexte21"/>
        <w:ind w:left="284"/>
        <w:rPr>
          <w:rFonts w:ascii="Book Antiqua" w:hAnsi="Book Antiqua" w:cs="Book Antiqua"/>
          <w:color w:val="000000"/>
          <w:sz w:val="20"/>
          <w:szCs w:val="20"/>
        </w:rPr>
      </w:pPr>
      <w:r>
        <w:rPr>
          <w:rFonts w:ascii="Book Antiqua" w:hAnsi="Book Antiqua" w:cs="Book Antiqua"/>
          <w:color w:val="000000"/>
          <w:sz w:val="20"/>
          <w:szCs w:val="20"/>
        </w:rPr>
        <w:t>Pour rappel, il n’y a pas de complément à prester pour les cours techniques puisque seul le volume horaire de la formation professionnelle est visé.</w:t>
      </w:r>
    </w:p>
    <w:p>
      <w:pPr>
        <w:pStyle w:val="niveau3"/>
        <w:spacing w:before="0" w:after="0"/>
      </w:pPr>
    </w:p>
    <w:p>
      <w:pPr>
        <w:pStyle w:val="niveau3"/>
        <w:ind w:firstLine="284"/>
      </w:pPr>
      <w:bookmarkStart w:id="119" w:name="_Toc522700835"/>
      <w:r>
        <w:t xml:space="preserve">viii. </w:t>
      </w:r>
      <w:r>
        <w:rPr>
          <w:u w:val="single"/>
        </w:rPr>
        <w:t>utilisation des periodes-professeurs</w:t>
      </w:r>
      <w:bookmarkEnd w:id="119"/>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t>Le Conseil de direction affecte les périodes-professeurs à l’établissement siège et aux établissements coopérants en fonction des formations qui y sont organisées.</w:t>
      </w:r>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t>Un CEFA n’est pas autorisé à céder des périodes ni à la zone, ni à un autre établissement.</w:t>
      </w:r>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t>Par contre, il peut en recevoir, soit d’un autre établissement, soit de la zone.</w:t>
      </w:r>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t>Ces périodes reçues sont exclusivement réservées à l’organisation des cours dispensés aux élèves.</w:t>
      </w:r>
    </w:p>
    <w:p>
      <w:pPr>
        <w:pStyle w:val="Retraitcorpsdetexte2"/>
        <w:ind w:left="284"/>
        <w:rPr>
          <w:rFonts w:ascii="Book Antiqua" w:hAnsi="Book Antiqua"/>
          <w:color w:val="000000"/>
        </w:rPr>
      </w:pPr>
    </w:p>
    <w:p>
      <w:pPr>
        <w:pStyle w:val="Retraitcorpsdetexte2"/>
        <w:ind w:left="284"/>
        <w:rPr>
          <w:rFonts w:ascii="Book Antiqua" w:hAnsi="Book Antiqua"/>
          <w:color w:val="000000"/>
        </w:rPr>
        <w:sectPr>
          <w:footerReference w:type="default" r:id="rId41"/>
          <w:pgSz w:w="11906" w:h="16838"/>
          <w:pgMar w:top="1417" w:right="1417" w:bottom="1417" w:left="1417" w:header="708" w:footer="708" w:gutter="0"/>
          <w:cols w:space="708"/>
          <w:rtlGutter/>
          <w:docGrid w:linePitch="360"/>
        </w:sectPr>
      </w:pPr>
    </w:p>
    <w:p>
      <w:pPr>
        <w:pStyle w:val="niveau5"/>
        <w:rPr>
          <w:szCs w:val="18"/>
        </w:rPr>
      </w:pPr>
      <w:r>
        <w:lastRenderedPageBreak/>
        <w:t>Annexe i</w:t>
      </w:r>
    </w:p>
    <w:p>
      <w:pPr>
        <w:jc w:val="center"/>
        <w:rPr>
          <w:sz w:val="28"/>
          <w:szCs w:val="28"/>
        </w:rPr>
      </w:pPr>
      <w:r>
        <w:rPr>
          <w:sz w:val="28"/>
          <w:szCs w:val="28"/>
        </w:rPr>
        <w:t>Commission permanente de l’alternance</w:t>
      </w:r>
    </w:p>
    <w:p>
      <w:pPr>
        <w:jc w:val="center"/>
        <w:rPr>
          <w:sz w:val="40"/>
          <w:szCs w:val="40"/>
        </w:rPr>
      </w:pPr>
      <w:r>
        <w:rPr>
          <w:sz w:val="40"/>
          <w:szCs w:val="40"/>
        </w:rPr>
        <w:t>Rapport annuel du Conseil zonal de l’alternance de la zone n° …..</w:t>
      </w:r>
    </w:p>
    <w:p>
      <w:pPr>
        <w:jc w:val="center"/>
        <w:rPr>
          <w:sz w:val="32"/>
          <w:szCs w:val="32"/>
        </w:rPr>
      </w:pPr>
      <w:r>
        <w:rPr>
          <w:sz w:val="32"/>
          <w:szCs w:val="32"/>
        </w:rPr>
        <w:t>Année scolaire 2018-2019</w:t>
      </w:r>
    </w:p>
    <w:p>
      <w:pPr>
        <w:rPr>
          <w:sz w:val="24"/>
          <w:szCs w:val="24"/>
          <w:u w:val="single"/>
        </w:rPr>
      </w:pPr>
      <w:r>
        <w:rPr>
          <w:sz w:val="24"/>
          <w:szCs w:val="24"/>
          <w:u w:val="single"/>
        </w:rPr>
        <w:t>Composition du Conseil zonal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9"/>
      </w:tblGrid>
      <w:tr>
        <w:trPr>
          <w:trHeight w:val="851"/>
        </w:trPr>
        <w:tc>
          <w:tcPr>
            <w:tcW w:w="14459" w:type="dxa"/>
            <w:shd w:val="clear" w:color="auto" w:fill="auto"/>
            <w:vAlign w:val="center"/>
          </w:tcPr>
          <w:p>
            <w:pPr>
              <w:rPr>
                <w:sz w:val="24"/>
                <w:szCs w:val="24"/>
              </w:rPr>
            </w:pPr>
            <w:r>
              <w:rPr>
                <w:sz w:val="24"/>
                <w:szCs w:val="24"/>
              </w:rPr>
              <w:t>Président(e)</w:t>
            </w:r>
          </w:p>
        </w:tc>
      </w:tr>
      <w:tr>
        <w:trPr>
          <w:trHeight w:val="851"/>
        </w:trPr>
        <w:tc>
          <w:tcPr>
            <w:tcW w:w="14459" w:type="dxa"/>
            <w:shd w:val="clear" w:color="auto" w:fill="auto"/>
            <w:vAlign w:val="center"/>
          </w:tcPr>
          <w:p>
            <w:pPr>
              <w:rPr>
                <w:sz w:val="24"/>
                <w:szCs w:val="24"/>
              </w:rPr>
            </w:pPr>
            <w:r>
              <w:rPr>
                <w:sz w:val="24"/>
                <w:szCs w:val="24"/>
              </w:rPr>
              <w:t>Vice-président(e)</w:t>
            </w:r>
          </w:p>
        </w:tc>
      </w:tr>
    </w:tbl>
    <w:p>
      <w:pPr>
        <w:rPr>
          <w:sz w:val="24"/>
          <w:szCs w:val="24"/>
          <w:u w:val="single"/>
        </w:rPr>
      </w:pPr>
      <w:r>
        <w:rPr>
          <w:sz w:val="24"/>
          <w:szCs w:val="24"/>
          <w:u w:val="single"/>
        </w:rPr>
        <w:t>Membres :</w:t>
      </w:r>
    </w:p>
    <w:tbl>
      <w:tblPr>
        <w:tblW w:w="14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0"/>
        <w:gridCol w:w="4820"/>
        <w:gridCol w:w="4820"/>
      </w:tblGrid>
      <w:tr>
        <w:trPr>
          <w:trHeight w:val="312"/>
        </w:trPr>
        <w:tc>
          <w:tcPr>
            <w:tcW w:w="4820" w:type="dxa"/>
            <w:shd w:val="clear" w:color="auto" w:fill="auto"/>
            <w:vAlign w:val="center"/>
          </w:tcPr>
          <w:p>
            <w:pPr>
              <w:jc w:val="center"/>
              <w:rPr>
                <w:sz w:val="24"/>
                <w:szCs w:val="24"/>
              </w:rPr>
            </w:pPr>
            <w:r>
              <w:rPr>
                <w:sz w:val="24"/>
                <w:szCs w:val="24"/>
              </w:rPr>
              <w:t>Nom et Prénom</w:t>
            </w:r>
          </w:p>
        </w:tc>
        <w:tc>
          <w:tcPr>
            <w:tcW w:w="4820" w:type="dxa"/>
            <w:shd w:val="clear" w:color="auto" w:fill="auto"/>
            <w:vAlign w:val="center"/>
          </w:tcPr>
          <w:p>
            <w:pPr>
              <w:jc w:val="center"/>
              <w:rPr>
                <w:sz w:val="24"/>
                <w:szCs w:val="24"/>
              </w:rPr>
            </w:pPr>
            <w:r>
              <w:rPr>
                <w:sz w:val="24"/>
                <w:szCs w:val="24"/>
              </w:rPr>
              <w:t>Fonction</w:t>
            </w:r>
          </w:p>
        </w:tc>
        <w:tc>
          <w:tcPr>
            <w:tcW w:w="4820" w:type="dxa"/>
            <w:shd w:val="clear" w:color="auto" w:fill="auto"/>
            <w:vAlign w:val="center"/>
          </w:tcPr>
          <w:p>
            <w:pPr>
              <w:jc w:val="center"/>
              <w:rPr>
                <w:sz w:val="24"/>
                <w:szCs w:val="24"/>
              </w:rPr>
            </w:pPr>
            <w:r>
              <w:rPr>
                <w:sz w:val="24"/>
                <w:szCs w:val="24"/>
              </w:rPr>
              <w:t>Institution</w:t>
            </w: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r>
        <w:trPr>
          <w:trHeight w:val="851"/>
        </w:trPr>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c>
          <w:tcPr>
            <w:tcW w:w="4820" w:type="dxa"/>
            <w:shd w:val="clear" w:color="auto" w:fill="auto"/>
          </w:tcPr>
          <w:p>
            <w:pPr>
              <w:rPr>
                <w:sz w:val="24"/>
                <w:szCs w:val="24"/>
                <w:u w:val="single"/>
              </w:rPr>
            </w:pPr>
          </w:p>
        </w:tc>
      </w:tr>
    </w:tbl>
    <w:p>
      <w:pPr>
        <w:rPr>
          <w:sz w:val="24"/>
          <w:szCs w:val="24"/>
          <w:u w:val="single"/>
        </w:rPr>
      </w:pPr>
    </w:p>
    <w:p>
      <w:pPr>
        <w:suppressAutoHyphens w:val="0"/>
        <w:spacing w:after="200" w:line="276" w:lineRule="auto"/>
        <w:rPr>
          <w:sz w:val="24"/>
          <w:szCs w:val="24"/>
          <w:u w:val="single"/>
        </w:rPr>
      </w:pPr>
      <w:r>
        <w:rPr>
          <w:sz w:val="24"/>
          <w:szCs w:val="24"/>
          <w:u w:val="single"/>
        </w:rPr>
        <w:br w:type="page"/>
      </w:r>
    </w:p>
    <w:p>
      <w:pPr>
        <w:rPr>
          <w:sz w:val="24"/>
          <w:szCs w:val="24"/>
          <w:u w:val="single"/>
        </w:rPr>
      </w:pPr>
    </w:p>
    <w:p>
      <w:pPr>
        <w:rPr>
          <w:sz w:val="24"/>
          <w:szCs w:val="24"/>
          <w:u w:val="single"/>
        </w:rPr>
      </w:pPr>
      <w:r>
        <w:rPr>
          <w:sz w:val="24"/>
          <w:szCs w:val="24"/>
          <w:u w:val="single"/>
        </w:rPr>
        <w:t>A. Rapport quantitatif</w:t>
      </w:r>
    </w:p>
    <w:p>
      <w:pPr>
        <w:rPr>
          <w:sz w:val="24"/>
          <w:szCs w:val="24"/>
          <w:u w:val="single"/>
        </w:rPr>
      </w:pPr>
    </w:p>
    <w:bookmarkStart w:id="120" w:name="_MON_1577100154"/>
    <w:bookmarkEnd w:id="120"/>
    <w:p>
      <w:pPr>
        <w:rPr>
          <w:sz w:val="24"/>
          <w:szCs w:val="24"/>
          <w:u w:val="single"/>
        </w:rPr>
      </w:pPr>
      <w:r>
        <w:rPr>
          <w:sz w:val="24"/>
          <w:szCs w:val="24"/>
          <w:u w:val="single"/>
        </w:rPr>
        <w:object w:dxaOrig="16383" w:dyaOrig="59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3.9pt;height:301.55pt" o:ole="">
            <v:imagedata r:id="rId42" o:title=""/>
          </v:shape>
          <o:OLEObject Type="Embed" ProgID="Excel.Sheet.8" ShapeID="_x0000_i1025" DrawAspect="Content" ObjectID="_1597045347" r:id="rId43"/>
        </w:object>
      </w:r>
    </w:p>
    <w:p>
      <w:pPr>
        <w:rPr>
          <w:sz w:val="24"/>
          <w:szCs w:val="24"/>
          <w:u w:val="single"/>
        </w:rPr>
      </w:pPr>
    </w:p>
    <w:p>
      <w:pPr>
        <w:rPr>
          <w:sz w:val="24"/>
          <w:szCs w:val="24"/>
          <w:u w:val="single"/>
        </w:rPr>
      </w:pPr>
    </w:p>
    <w:p>
      <w:pPr>
        <w:rPr>
          <w:sz w:val="24"/>
          <w:szCs w:val="24"/>
          <w:u w:val="single"/>
        </w:rPr>
      </w:pPr>
    </w:p>
    <w:p>
      <w:pPr>
        <w:rPr>
          <w:sz w:val="24"/>
          <w:szCs w:val="24"/>
          <w:u w:val="single"/>
        </w:rPr>
      </w:pPr>
    </w:p>
    <w:p>
      <w:pPr>
        <w:suppressAutoHyphens w:val="0"/>
        <w:spacing w:after="200" w:line="276" w:lineRule="auto"/>
        <w:rPr>
          <w:sz w:val="24"/>
          <w:szCs w:val="24"/>
          <w:u w:val="single"/>
        </w:rPr>
      </w:pPr>
      <w:r>
        <w:rPr>
          <w:sz w:val="24"/>
          <w:szCs w:val="24"/>
          <w:u w:val="single"/>
        </w:rPr>
        <w:br w:type="page"/>
      </w:r>
    </w:p>
    <w:p>
      <w:pPr>
        <w:rPr>
          <w:sz w:val="24"/>
          <w:szCs w:val="24"/>
          <w:u w:val="single"/>
        </w:rPr>
      </w:pPr>
    </w:p>
    <w:p>
      <w:pPr>
        <w:rPr>
          <w:sz w:val="24"/>
          <w:szCs w:val="24"/>
          <w:u w:val="single"/>
        </w:rPr>
      </w:pPr>
      <w:r>
        <w:rPr>
          <w:sz w:val="24"/>
          <w:szCs w:val="24"/>
          <w:u w:val="single"/>
        </w:rPr>
        <w:t>B. Rapport qualitatif</w:t>
      </w:r>
    </w:p>
    <w:p>
      <w:pPr>
        <w:pStyle w:val="Paragraphedeliste"/>
        <w:numPr>
          <w:ilvl w:val="0"/>
          <w:numId w:val="60"/>
        </w:numPr>
        <w:tabs>
          <w:tab w:val="left" w:pos="851"/>
        </w:tabs>
        <w:suppressAutoHyphens w:val="0"/>
        <w:spacing w:after="200" w:line="276" w:lineRule="auto"/>
        <w:rPr>
          <w:sz w:val="24"/>
          <w:szCs w:val="24"/>
          <w:u w:val="single"/>
        </w:rPr>
      </w:pPr>
      <w:r>
        <w:rPr>
          <w:sz w:val="24"/>
          <w:szCs w:val="24"/>
          <w:u w:val="single"/>
        </w:rPr>
        <w:t>Commentaires sur les chiffres du tableau de la page précédente</w:t>
      </w:r>
      <w:r>
        <w:rPr>
          <w:sz w:val="24"/>
          <w:szCs w:val="24"/>
        </w:rPr>
        <w:t xml:space="preserve"> </w:t>
      </w:r>
    </w:p>
    <w:p>
      <w:pPr>
        <w:pStyle w:val="Paragraphedeliste"/>
        <w:numPr>
          <w:ilvl w:val="0"/>
          <w:numId w:val="61"/>
        </w:numPr>
        <w:tabs>
          <w:tab w:val="left" w:pos="851"/>
        </w:tabs>
        <w:suppressAutoHyphens w:val="0"/>
        <w:spacing w:after="200" w:line="276" w:lineRule="auto"/>
        <w:rPr>
          <w:sz w:val="24"/>
          <w:szCs w:val="24"/>
          <w:u w:val="single"/>
        </w:rPr>
      </w:pPr>
      <w:r>
        <w:rPr>
          <w:sz w:val="24"/>
          <w:szCs w:val="24"/>
        </w:rPr>
        <w:t xml:space="preserve">Quelles facilités </w:t>
      </w:r>
      <w:r>
        <w:rPr>
          <w:b/>
          <w:sz w:val="24"/>
          <w:szCs w:val="24"/>
          <w:u w:val="single"/>
        </w:rPr>
        <w:t>d’insertion</w:t>
      </w:r>
      <w:r>
        <w:rPr>
          <w:sz w:val="24"/>
          <w:szCs w:val="24"/>
        </w:rPr>
        <w:t xml:space="preserve"> dans les différents secteurs avez-vous rencontrées ?</w:t>
      </w: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pStyle w:val="Paragraphedeliste"/>
        <w:numPr>
          <w:ilvl w:val="0"/>
          <w:numId w:val="61"/>
        </w:numPr>
        <w:tabs>
          <w:tab w:val="left" w:pos="851"/>
        </w:tabs>
        <w:suppressAutoHyphens w:val="0"/>
        <w:spacing w:after="200" w:line="276" w:lineRule="auto"/>
        <w:rPr>
          <w:sz w:val="24"/>
          <w:szCs w:val="24"/>
          <w:u w:val="single"/>
        </w:rPr>
      </w:pPr>
      <w:r>
        <w:rPr>
          <w:sz w:val="24"/>
          <w:szCs w:val="24"/>
        </w:rPr>
        <w:t xml:space="preserve">Quelles difficultés </w:t>
      </w:r>
      <w:r>
        <w:rPr>
          <w:b/>
          <w:sz w:val="24"/>
          <w:szCs w:val="24"/>
          <w:u w:val="single"/>
        </w:rPr>
        <w:t>d’insertion</w:t>
      </w:r>
      <w:r>
        <w:rPr>
          <w:sz w:val="24"/>
          <w:szCs w:val="24"/>
        </w:rPr>
        <w:t xml:space="preserve"> dans les différents secteurs avez-vous rencontrées et quelles stratégies avez-vous mises en place afin d’y remédier ?</w:t>
      </w:r>
    </w:p>
    <w:p>
      <w:pPr>
        <w:pStyle w:val="Paragraphedeliste"/>
        <w:tabs>
          <w:tab w:val="left" w:pos="851"/>
        </w:tabs>
        <w:ind w:left="1080"/>
        <w:rPr>
          <w:sz w:val="24"/>
          <w:szCs w:val="24"/>
          <w:u w:val="single"/>
        </w:rPr>
      </w:pPr>
    </w:p>
    <w:p>
      <w:pPr>
        <w:pStyle w:val="Paragraphedeliste"/>
        <w:tabs>
          <w:tab w:val="left" w:pos="851"/>
        </w:tabs>
        <w:ind w:left="1080"/>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pStyle w:val="Paragraphedeliste"/>
        <w:numPr>
          <w:ilvl w:val="0"/>
          <w:numId w:val="60"/>
        </w:numPr>
        <w:tabs>
          <w:tab w:val="left" w:pos="851"/>
        </w:tabs>
        <w:suppressAutoHyphens w:val="0"/>
        <w:spacing w:after="200" w:line="276" w:lineRule="auto"/>
        <w:rPr>
          <w:sz w:val="24"/>
          <w:szCs w:val="24"/>
          <w:u w:val="single"/>
        </w:rPr>
      </w:pPr>
      <w:r>
        <w:rPr>
          <w:sz w:val="24"/>
          <w:szCs w:val="24"/>
          <w:u w:val="single"/>
        </w:rPr>
        <w:t>Partenariats/contacts/actions avec les instances locales</w:t>
      </w:r>
      <w:r>
        <w:rPr>
          <w:sz w:val="24"/>
          <w:szCs w:val="24"/>
        </w:rPr>
        <w:t xml:space="preserve"> (IBEF, ASBL locales …)</w:t>
      </w: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pStyle w:val="Paragraphedeliste"/>
        <w:numPr>
          <w:ilvl w:val="0"/>
          <w:numId w:val="60"/>
        </w:numPr>
        <w:tabs>
          <w:tab w:val="left" w:pos="851"/>
        </w:tabs>
        <w:suppressAutoHyphens w:val="0"/>
        <w:spacing w:after="200" w:line="276" w:lineRule="auto"/>
        <w:rPr>
          <w:sz w:val="24"/>
          <w:szCs w:val="24"/>
          <w:u w:val="single"/>
        </w:rPr>
      </w:pPr>
      <w:r>
        <w:rPr>
          <w:sz w:val="24"/>
          <w:szCs w:val="24"/>
          <w:u w:val="single"/>
        </w:rPr>
        <w:t>Partenariats/contacts/actions avec les secteurs</w:t>
      </w: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suppressAutoHyphens w:val="0"/>
        <w:spacing w:after="200" w:line="276" w:lineRule="auto"/>
        <w:rPr>
          <w:sz w:val="24"/>
          <w:szCs w:val="24"/>
          <w:u w:val="single"/>
        </w:rPr>
      </w:pPr>
      <w:r>
        <w:rPr>
          <w:sz w:val="24"/>
          <w:szCs w:val="24"/>
          <w:u w:val="single"/>
        </w:rPr>
        <w:br w:type="page"/>
      </w:r>
    </w:p>
    <w:p>
      <w:pPr>
        <w:tabs>
          <w:tab w:val="left" w:pos="851"/>
        </w:tabs>
        <w:rPr>
          <w:sz w:val="24"/>
          <w:szCs w:val="24"/>
          <w:u w:val="single"/>
        </w:rPr>
      </w:pPr>
    </w:p>
    <w:p>
      <w:pPr>
        <w:pStyle w:val="Paragraphedeliste"/>
        <w:numPr>
          <w:ilvl w:val="0"/>
          <w:numId w:val="60"/>
        </w:numPr>
        <w:tabs>
          <w:tab w:val="left" w:pos="851"/>
        </w:tabs>
        <w:suppressAutoHyphens w:val="0"/>
        <w:spacing w:after="200" w:line="276" w:lineRule="auto"/>
        <w:rPr>
          <w:sz w:val="24"/>
          <w:szCs w:val="24"/>
          <w:u w:val="single"/>
        </w:rPr>
      </w:pPr>
      <w:r>
        <w:rPr>
          <w:sz w:val="24"/>
          <w:szCs w:val="24"/>
          <w:u w:val="single"/>
        </w:rPr>
        <w:t>Démarches particulières des CEFA entreprises pour développer l’enseignement secondaire en alternance dans la zone</w:t>
      </w: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pStyle w:val="Paragraphedeliste"/>
        <w:numPr>
          <w:ilvl w:val="0"/>
          <w:numId w:val="60"/>
        </w:numPr>
        <w:tabs>
          <w:tab w:val="left" w:pos="851"/>
        </w:tabs>
        <w:suppressAutoHyphens w:val="0"/>
        <w:spacing w:after="200" w:line="276" w:lineRule="auto"/>
        <w:rPr>
          <w:sz w:val="24"/>
          <w:szCs w:val="24"/>
          <w:u w:val="single"/>
        </w:rPr>
      </w:pPr>
      <w:r>
        <w:rPr>
          <w:sz w:val="24"/>
          <w:szCs w:val="24"/>
          <w:u w:val="single"/>
        </w:rPr>
        <w:t>Actions menées, en commun, au niveau du CZA (intervenants extérieurs, organisation de conférences …)</w:t>
      </w: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pStyle w:val="Paragraphedeliste"/>
        <w:numPr>
          <w:ilvl w:val="0"/>
          <w:numId w:val="60"/>
        </w:numPr>
        <w:tabs>
          <w:tab w:val="left" w:pos="851"/>
        </w:tabs>
        <w:suppressAutoHyphens w:val="0"/>
        <w:spacing w:after="200" w:line="276" w:lineRule="auto"/>
        <w:rPr>
          <w:sz w:val="24"/>
          <w:szCs w:val="24"/>
          <w:u w:val="single"/>
        </w:rPr>
      </w:pPr>
      <w:r>
        <w:rPr>
          <w:sz w:val="24"/>
          <w:szCs w:val="24"/>
          <w:u w:val="single"/>
        </w:rPr>
        <w:t>Projets pour l’année prochaine</w:t>
      </w:r>
      <w:r>
        <w:rPr>
          <w:sz w:val="24"/>
          <w:szCs w:val="24"/>
        </w:rPr>
        <w:t xml:space="preserve"> (actions à poursuivre, nouvelles actions à mettre en place …)</w:t>
      </w: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pStyle w:val="Paragraphedeliste"/>
        <w:numPr>
          <w:ilvl w:val="0"/>
          <w:numId w:val="60"/>
        </w:numPr>
        <w:tabs>
          <w:tab w:val="left" w:pos="851"/>
        </w:tabs>
        <w:suppressAutoHyphens w:val="0"/>
        <w:spacing w:after="200" w:line="276" w:lineRule="auto"/>
        <w:rPr>
          <w:sz w:val="24"/>
          <w:szCs w:val="24"/>
          <w:u w:val="single"/>
        </w:rPr>
      </w:pPr>
      <w:r>
        <w:rPr>
          <w:sz w:val="24"/>
          <w:szCs w:val="24"/>
          <w:u w:val="single"/>
        </w:rPr>
        <w:t>Remarques et suggestions</w:t>
      </w:r>
    </w:p>
    <w:p>
      <w:pPr>
        <w:tabs>
          <w:tab w:val="left" w:pos="851"/>
        </w:tabs>
        <w:rPr>
          <w:sz w:val="24"/>
          <w:szCs w:val="24"/>
          <w:u w:val="single"/>
        </w:rPr>
      </w:pPr>
    </w:p>
    <w:p>
      <w:pPr>
        <w:tabs>
          <w:tab w:val="left" w:pos="851"/>
        </w:tabs>
        <w:rPr>
          <w:sz w:val="24"/>
          <w:szCs w:val="24"/>
          <w:u w:val="single"/>
        </w:rPr>
      </w:pPr>
    </w:p>
    <w:p>
      <w:pPr>
        <w:tabs>
          <w:tab w:val="left" w:pos="851"/>
        </w:tabs>
        <w:rPr>
          <w:sz w:val="24"/>
          <w:szCs w:val="24"/>
          <w:u w:val="single"/>
        </w:rPr>
      </w:pPr>
    </w:p>
    <w:p>
      <w:pPr>
        <w:tabs>
          <w:tab w:val="left" w:pos="851"/>
        </w:tabs>
        <w:jc w:val="right"/>
        <w:rPr>
          <w:sz w:val="24"/>
          <w:szCs w:val="24"/>
          <w:u w:val="single"/>
        </w:rPr>
      </w:pPr>
    </w:p>
    <w:p>
      <w:pPr>
        <w:tabs>
          <w:tab w:val="left" w:pos="851"/>
        </w:tabs>
        <w:jc w:val="right"/>
        <w:rPr>
          <w:sz w:val="24"/>
          <w:szCs w:val="24"/>
          <w:u w:val="single"/>
        </w:rPr>
      </w:pPr>
    </w:p>
    <w:p>
      <w:pPr>
        <w:tabs>
          <w:tab w:val="left" w:pos="851"/>
        </w:tabs>
        <w:jc w:val="center"/>
        <w:rPr>
          <w:sz w:val="24"/>
          <w:szCs w:val="24"/>
        </w:rPr>
      </w:pPr>
      <w:r>
        <w:rPr>
          <w:sz w:val="24"/>
          <w:szCs w:val="24"/>
        </w:rPr>
        <w:t>Rapport approuvé lors de la séance du ………………………………………….</w:t>
      </w:r>
    </w:p>
    <w:p>
      <w:pPr>
        <w:pStyle w:val="Retraitcorpsdetexte2"/>
        <w:ind w:left="284"/>
        <w:rPr>
          <w:rFonts w:ascii="Book Antiqua" w:hAnsi="Book Antiqua"/>
          <w:color w:val="000000"/>
        </w:rPr>
        <w:sectPr>
          <w:headerReference w:type="default" r:id="rId44"/>
          <w:footerReference w:type="even" r:id="rId45"/>
          <w:footerReference w:type="default" r:id="rId46"/>
          <w:footerReference w:type="first" r:id="rId47"/>
          <w:footnotePr>
            <w:numRestart w:val="eachPage"/>
          </w:footnotePr>
          <w:pgSz w:w="16838" w:h="11906" w:orient="landscape" w:code="9"/>
          <w:pgMar w:top="1418" w:right="1418" w:bottom="1418" w:left="1418" w:header="709" w:footer="709" w:gutter="0"/>
          <w:cols w:space="708"/>
          <w:titlePg/>
          <w:docGrid w:linePitch="360"/>
        </w:sectPr>
      </w:pPr>
      <w:r>
        <w:rPr>
          <w:sz w:val="24"/>
          <w:szCs w:val="24"/>
        </w:rPr>
        <w:t>Signature du/de la Président/Présidente                                                                                                                                   Signature du/de la Vice-président/Vice-présidente</w:t>
      </w:r>
    </w:p>
    <w:p>
      <w:pPr>
        <w:pStyle w:val="niveau5"/>
        <w:rPr>
          <w:szCs w:val="18"/>
        </w:rPr>
      </w:pPr>
      <w:r>
        <w:lastRenderedPageBreak/>
        <w:t>Annexe iI</w:t>
      </w:r>
      <w:bookmarkStart w:id="121" w:name="_Toc167007748"/>
    </w:p>
    <w:bookmarkEnd w:id="121"/>
    <w:p>
      <w:pPr>
        <w:jc w:val="center"/>
        <w:rPr>
          <w:b/>
          <w:sz w:val="28"/>
          <w:szCs w:val="28"/>
        </w:rPr>
      </w:pPr>
      <w:r>
        <w:rPr>
          <w:b/>
          <w:sz w:val="28"/>
          <w:szCs w:val="28"/>
        </w:rPr>
        <w:t>Demande d’admission aux subventions dans l’enseignement secondaire ordinaire en alternance</w:t>
      </w:r>
    </w:p>
    <w:p>
      <w:pPr>
        <w:jc w:val="center"/>
        <w:rPr>
          <w:b/>
          <w:sz w:val="28"/>
          <w:szCs w:val="28"/>
        </w:rPr>
      </w:pPr>
    </w:p>
    <w:p>
      <w:pPr>
        <w:jc w:val="center"/>
        <w:rPr>
          <w:b/>
          <w:sz w:val="28"/>
          <w:szCs w:val="28"/>
        </w:rPr>
      </w:pPr>
    </w:p>
    <w:p>
      <w:pPr>
        <w:jc w:val="both"/>
        <w:rPr>
          <w:sz w:val="28"/>
          <w:szCs w:val="28"/>
        </w:rPr>
      </w:pPr>
      <w:r>
        <w:rPr>
          <w:sz w:val="28"/>
          <w:szCs w:val="28"/>
        </w:rPr>
        <w:t xml:space="preserve">Cette annexe est désormais sans objet. </w:t>
      </w:r>
    </w:p>
    <w:p>
      <w:pPr>
        <w:jc w:val="both"/>
        <w:rPr>
          <w:sz w:val="28"/>
          <w:szCs w:val="28"/>
        </w:rPr>
      </w:pPr>
      <w:r>
        <w:rPr>
          <w:sz w:val="28"/>
          <w:szCs w:val="28"/>
        </w:rPr>
        <w:t xml:space="preserve">L’admission aux subventions passe dorénavant par l’application GOSS2 et la programmation des options dans le dossier du même nom. Aucun document papier ne doit être renvoyé à l’administration. </w:t>
      </w:r>
    </w:p>
    <w:p>
      <w:pPr>
        <w:suppressAutoHyphens w:val="0"/>
        <w:spacing w:after="200" w:line="276" w:lineRule="auto"/>
        <w:rPr>
          <w:b/>
          <w:sz w:val="28"/>
          <w:szCs w:val="28"/>
        </w:rPr>
      </w:pPr>
      <w:r>
        <w:rPr>
          <w:b/>
          <w:sz w:val="28"/>
          <w:szCs w:val="28"/>
        </w:rPr>
        <w:br w:type="page"/>
      </w:r>
    </w:p>
    <w:p>
      <w:pPr>
        <w:jc w:val="center"/>
        <w:rPr>
          <w:b/>
          <w:sz w:val="28"/>
          <w:szCs w:val="28"/>
        </w:rPr>
      </w:pPr>
    </w:p>
    <w:p>
      <w:pPr>
        <w:jc w:val="both"/>
      </w:pPr>
    </w:p>
    <w:p>
      <w:pPr>
        <w:pStyle w:val="niveau5"/>
        <w:spacing w:before="0" w:after="0"/>
        <w:rPr>
          <w:szCs w:val="18"/>
        </w:rPr>
      </w:pPr>
      <w:r>
        <w:t>Annexe iII</w:t>
      </w:r>
      <w:r>
        <w:rPr>
          <w:rFonts w:ascii="Arial Narrow" w:hAnsi="Arial Narrow"/>
          <w:b/>
          <w:sz w:val="24"/>
          <w:szCs w:val="24"/>
          <w:lang w:val="fr-BE"/>
        </w:rPr>
        <w:t xml:space="preserve">    -  CONSEILS ZONAUX </w:t>
      </w:r>
      <w:r>
        <w:rPr>
          <w:rFonts w:ascii="Arial" w:hAnsi="Arial" w:cs="Arial"/>
          <w:b/>
        </w:rPr>
        <w:t xml:space="preserve">: </w:t>
      </w:r>
      <w:r>
        <w:rPr>
          <w:rFonts w:ascii="Arial Narrow" w:hAnsi="Arial Narrow"/>
          <w:b/>
          <w:sz w:val="24"/>
          <w:szCs w:val="24"/>
          <w:lang w:val="fr-BE"/>
        </w:rPr>
        <w:t>Coordonnées de contact et liste des communes qui les composent</w:t>
      </w:r>
    </w:p>
    <w:p>
      <w:pPr>
        <w:pStyle w:val="Corpsdetexte"/>
        <w:jc w:val="right"/>
        <w:rPr>
          <w:sz w:val="20"/>
          <w:szCs w:val="20"/>
        </w:rPr>
      </w:pPr>
    </w:p>
    <w:tbl>
      <w:tblPr>
        <w:tblStyle w:val="Grilledutableau"/>
        <w:tblW w:w="0" w:type="auto"/>
        <w:tblInd w:w="-5" w:type="dxa"/>
        <w:tblBorders>
          <w:insideH w:val="none" w:sz="0" w:space="0" w:color="auto"/>
          <w:insideV w:val="none" w:sz="0" w:space="0" w:color="auto"/>
        </w:tblBorders>
        <w:shd w:val="clear" w:color="auto" w:fill="FFFFFF" w:themeFill="background1"/>
        <w:tblLook w:val="04A0" w:firstRow="1" w:lastRow="0" w:firstColumn="1" w:lastColumn="0" w:noHBand="0" w:noVBand="1"/>
      </w:tblPr>
      <w:tblGrid>
        <w:gridCol w:w="7001"/>
        <w:gridCol w:w="6996"/>
      </w:tblGrid>
      <w:tr>
        <w:tc>
          <w:tcPr>
            <w:tcW w:w="7001" w:type="dxa"/>
            <w:shd w:val="clear" w:color="auto" w:fill="FFFFFF" w:themeFill="background1"/>
          </w:tcPr>
          <w:p>
            <w:pPr>
              <w:pStyle w:val="Corpsdetexte"/>
              <w:ind w:left="-113"/>
              <w:jc w:val="left"/>
              <w:rPr>
                <w:b/>
                <w:sz w:val="20"/>
                <w:szCs w:val="20"/>
              </w:rPr>
            </w:pPr>
            <w:r>
              <w:rPr>
                <w:b/>
                <w:sz w:val="20"/>
                <w:szCs w:val="20"/>
              </w:rPr>
              <w:t xml:space="preserve">Zone 01 / (19 communes de la Région de Bruxelles-Capitale)  </w:t>
            </w:r>
          </w:p>
        </w:tc>
        <w:tc>
          <w:tcPr>
            <w:tcW w:w="6996" w:type="dxa"/>
            <w:shd w:val="clear" w:color="auto" w:fill="FFFFFF" w:themeFill="background1"/>
          </w:tcPr>
          <w:p>
            <w:pPr>
              <w:pStyle w:val="Corpsdetexte"/>
              <w:jc w:val="center"/>
              <w:rPr>
                <w:b/>
                <w:sz w:val="20"/>
                <w:szCs w:val="20"/>
              </w:rPr>
            </w:pPr>
            <w:r>
              <w:rPr>
                <w:b/>
                <w:sz w:val="20"/>
                <w:szCs w:val="20"/>
              </w:rPr>
              <w:t>e-mail : cza.zone01@gmail.com</w:t>
            </w:r>
          </w:p>
        </w:tc>
      </w:tr>
    </w:tbl>
    <w:p>
      <w:pPr>
        <w:pStyle w:val="Corpsdetexte"/>
        <w:rPr>
          <w:sz w:val="20"/>
          <w:szCs w:val="20"/>
        </w:rPr>
      </w:pPr>
      <w:r>
        <w:rPr>
          <w:sz w:val="20"/>
          <w:szCs w:val="20"/>
        </w:rPr>
        <w:t>Anderlecht, Auderghem, Berchem-Sainte-Agathe, Bruxelles, Etterbeek, Evere, Forest, Ganshoren, Ixelles, Jette, Koekelberg, Molenbeek-Saint-Jean, Saint-Gilles, Saint-Josse-ten-Noode, Schaerbeek, Uccle, Watermael-Boitsfort, Woluwe-Saint-Lambert, Woluwe-Saint-Pierre.</w:t>
      </w:r>
    </w:p>
    <w:tbl>
      <w:tblPr>
        <w:tblStyle w:val="Grilledutableau"/>
        <w:tblW w:w="0" w:type="auto"/>
        <w:tblLook w:val="04A0" w:firstRow="1" w:lastRow="0" w:firstColumn="1" w:lastColumn="0" w:noHBand="0" w:noVBand="1"/>
      </w:tblPr>
      <w:tblGrid>
        <w:gridCol w:w="6996"/>
        <w:gridCol w:w="6996"/>
      </w:tblGrid>
      <w:tr>
        <w:tc>
          <w:tcPr>
            <w:tcW w:w="6996" w:type="dxa"/>
          </w:tcPr>
          <w:p>
            <w:pPr>
              <w:pStyle w:val="Corpsdetexte"/>
              <w:jc w:val="left"/>
              <w:rPr>
                <w:sz w:val="20"/>
                <w:szCs w:val="20"/>
              </w:rPr>
            </w:pPr>
            <w:r>
              <w:rPr>
                <w:b/>
                <w:sz w:val="20"/>
                <w:szCs w:val="20"/>
              </w:rPr>
              <w:t>Zone 02</w:t>
            </w:r>
            <w:r>
              <w:rPr>
                <w:sz w:val="20"/>
                <w:szCs w:val="20"/>
              </w:rPr>
              <w:t xml:space="preserve"> </w:t>
            </w:r>
            <w:r>
              <w:rPr>
                <w:b/>
                <w:sz w:val="20"/>
                <w:szCs w:val="20"/>
              </w:rPr>
              <w:t xml:space="preserve"> / Bassin EFE du Brabant wallon</w:t>
            </w:r>
          </w:p>
        </w:tc>
        <w:tc>
          <w:tcPr>
            <w:tcW w:w="6996" w:type="dxa"/>
          </w:tcPr>
          <w:p>
            <w:pPr>
              <w:pStyle w:val="Corpsdetexte"/>
              <w:jc w:val="center"/>
              <w:rPr>
                <w:b/>
                <w:sz w:val="20"/>
                <w:szCs w:val="20"/>
              </w:rPr>
            </w:pPr>
            <w:r>
              <w:rPr>
                <w:b/>
                <w:sz w:val="20"/>
                <w:szCs w:val="20"/>
              </w:rPr>
              <w:t>e-mail : cza.zone02@gmail.com</w:t>
            </w:r>
          </w:p>
        </w:tc>
      </w:tr>
    </w:tbl>
    <w:p>
      <w:pPr>
        <w:pStyle w:val="Corpsdetexte"/>
        <w:rPr>
          <w:sz w:val="20"/>
          <w:szCs w:val="20"/>
        </w:rPr>
      </w:pPr>
      <w:r>
        <w:rPr>
          <w:sz w:val="20"/>
          <w:szCs w:val="20"/>
        </w:rPr>
        <w:t xml:space="preserve">Beauvechain, Braine-l'Alleud, Braine-le-Château, Court-Saint-Etienne, </w:t>
      </w:r>
      <w:proofErr w:type="spellStart"/>
      <w:r>
        <w:rPr>
          <w:sz w:val="20"/>
          <w:szCs w:val="20"/>
        </w:rPr>
        <w:t>Chastre</w:t>
      </w:r>
      <w:proofErr w:type="spellEnd"/>
      <w:r>
        <w:rPr>
          <w:sz w:val="20"/>
          <w:szCs w:val="20"/>
        </w:rPr>
        <w:t xml:space="preserve">, Chaumont-Gistoux, Genappe, Grez-Doiceau, </w:t>
      </w:r>
      <w:proofErr w:type="spellStart"/>
      <w:r>
        <w:rPr>
          <w:sz w:val="20"/>
          <w:szCs w:val="20"/>
        </w:rPr>
        <w:t>Hélécine</w:t>
      </w:r>
      <w:proofErr w:type="spellEnd"/>
      <w:r>
        <w:rPr>
          <w:sz w:val="20"/>
          <w:szCs w:val="20"/>
        </w:rPr>
        <w:t xml:space="preserve">, </w:t>
      </w:r>
      <w:proofErr w:type="spellStart"/>
      <w:r>
        <w:rPr>
          <w:sz w:val="20"/>
          <w:szCs w:val="20"/>
        </w:rPr>
        <w:t>Incourt</w:t>
      </w:r>
      <w:proofErr w:type="spellEnd"/>
      <w:r>
        <w:rPr>
          <w:sz w:val="20"/>
          <w:szCs w:val="20"/>
        </w:rPr>
        <w:t xml:space="preserve">, Ittre, Jodoigne, La </w:t>
      </w:r>
      <w:proofErr w:type="spellStart"/>
      <w:r>
        <w:rPr>
          <w:sz w:val="20"/>
          <w:szCs w:val="20"/>
        </w:rPr>
        <w:t>Hulpe</w:t>
      </w:r>
      <w:proofErr w:type="spellEnd"/>
      <w:r>
        <w:rPr>
          <w:sz w:val="20"/>
          <w:szCs w:val="20"/>
        </w:rPr>
        <w:t xml:space="preserve">, </w:t>
      </w:r>
      <w:proofErr w:type="spellStart"/>
      <w:r>
        <w:rPr>
          <w:sz w:val="20"/>
          <w:szCs w:val="20"/>
        </w:rPr>
        <w:t>Lasne</w:t>
      </w:r>
      <w:proofErr w:type="spellEnd"/>
      <w:r>
        <w:rPr>
          <w:sz w:val="20"/>
          <w:szCs w:val="20"/>
        </w:rPr>
        <w:t xml:space="preserve">, Mont-Saint-Guibert, Nivelles, </w:t>
      </w:r>
      <w:proofErr w:type="spellStart"/>
      <w:r>
        <w:rPr>
          <w:sz w:val="20"/>
          <w:szCs w:val="20"/>
        </w:rPr>
        <w:t>Orp</w:t>
      </w:r>
      <w:proofErr w:type="spellEnd"/>
      <w:r>
        <w:rPr>
          <w:sz w:val="20"/>
          <w:szCs w:val="20"/>
        </w:rPr>
        <w:t xml:space="preserve">-Jauche, </w:t>
      </w:r>
      <w:proofErr w:type="spellStart"/>
      <w:r>
        <w:rPr>
          <w:sz w:val="20"/>
          <w:szCs w:val="20"/>
        </w:rPr>
        <w:t>Ottignies</w:t>
      </w:r>
      <w:proofErr w:type="spellEnd"/>
      <w:r>
        <w:rPr>
          <w:sz w:val="20"/>
          <w:szCs w:val="20"/>
        </w:rPr>
        <w:t xml:space="preserve"> - Louvain-la-Neuve, Perwez, </w:t>
      </w:r>
      <w:proofErr w:type="spellStart"/>
      <w:r>
        <w:rPr>
          <w:sz w:val="20"/>
          <w:szCs w:val="20"/>
        </w:rPr>
        <w:t>Ramillies</w:t>
      </w:r>
      <w:proofErr w:type="spellEnd"/>
      <w:r>
        <w:rPr>
          <w:sz w:val="20"/>
          <w:szCs w:val="20"/>
        </w:rPr>
        <w:t xml:space="preserve">, </w:t>
      </w:r>
      <w:proofErr w:type="spellStart"/>
      <w:r>
        <w:rPr>
          <w:sz w:val="20"/>
          <w:szCs w:val="20"/>
        </w:rPr>
        <w:t>Rebecq</w:t>
      </w:r>
      <w:proofErr w:type="spellEnd"/>
      <w:r>
        <w:rPr>
          <w:sz w:val="20"/>
          <w:szCs w:val="20"/>
        </w:rPr>
        <w:t xml:space="preserve">, Rixensart, Tubize, Villers-la-Ville, </w:t>
      </w:r>
      <w:proofErr w:type="spellStart"/>
      <w:r>
        <w:rPr>
          <w:sz w:val="20"/>
          <w:szCs w:val="20"/>
        </w:rPr>
        <w:t>Walhain</w:t>
      </w:r>
      <w:proofErr w:type="spellEnd"/>
      <w:r>
        <w:rPr>
          <w:sz w:val="20"/>
          <w:szCs w:val="20"/>
        </w:rPr>
        <w:t>, Waterloo, Wavre.</w:t>
      </w:r>
    </w:p>
    <w:tbl>
      <w:tblPr>
        <w:tblStyle w:val="Grilledutableau"/>
        <w:tblW w:w="0" w:type="auto"/>
        <w:tblLook w:val="04A0" w:firstRow="1" w:lastRow="0" w:firstColumn="1" w:lastColumn="0" w:noHBand="0" w:noVBand="1"/>
      </w:tblPr>
      <w:tblGrid>
        <w:gridCol w:w="6996"/>
        <w:gridCol w:w="6996"/>
      </w:tblGrid>
      <w:tr>
        <w:tc>
          <w:tcPr>
            <w:tcW w:w="6996" w:type="dxa"/>
          </w:tcPr>
          <w:p>
            <w:pPr>
              <w:pStyle w:val="Corpsdetexte"/>
              <w:jc w:val="left"/>
              <w:rPr>
                <w:sz w:val="20"/>
                <w:szCs w:val="20"/>
              </w:rPr>
            </w:pPr>
            <w:r>
              <w:rPr>
                <w:b/>
                <w:sz w:val="20"/>
                <w:szCs w:val="20"/>
              </w:rPr>
              <w:t>Zone 03</w:t>
            </w:r>
            <w:r>
              <w:rPr>
                <w:sz w:val="20"/>
                <w:szCs w:val="20"/>
              </w:rPr>
              <w:t xml:space="preserve"> </w:t>
            </w:r>
            <w:r>
              <w:rPr>
                <w:b/>
                <w:sz w:val="20"/>
                <w:szCs w:val="20"/>
              </w:rPr>
              <w:t>/ Bassin EFE de Huy - Waremme</w:t>
            </w:r>
          </w:p>
        </w:tc>
        <w:tc>
          <w:tcPr>
            <w:tcW w:w="6996" w:type="dxa"/>
          </w:tcPr>
          <w:p>
            <w:pPr>
              <w:pStyle w:val="Corpsdetexte"/>
              <w:jc w:val="center"/>
              <w:rPr>
                <w:b/>
                <w:sz w:val="20"/>
                <w:szCs w:val="20"/>
              </w:rPr>
            </w:pPr>
            <w:r>
              <w:rPr>
                <w:b/>
                <w:sz w:val="20"/>
                <w:szCs w:val="20"/>
              </w:rPr>
              <w:t>e-mail : cza.zone03@gmail.com</w:t>
            </w:r>
          </w:p>
        </w:tc>
      </w:tr>
    </w:tbl>
    <w:p>
      <w:pPr>
        <w:pStyle w:val="Corpsdetexte"/>
        <w:rPr>
          <w:sz w:val="20"/>
          <w:szCs w:val="20"/>
        </w:rPr>
      </w:pPr>
      <w:r>
        <w:rPr>
          <w:sz w:val="20"/>
          <w:szCs w:val="20"/>
        </w:rPr>
        <w:t xml:space="preserve">Amay, </w:t>
      </w:r>
      <w:proofErr w:type="spellStart"/>
      <w:r>
        <w:rPr>
          <w:sz w:val="20"/>
          <w:szCs w:val="20"/>
        </w:rPr>
        <w:t>Anthisnes</w:t>
      </w:r>
      <w:proofErr w:type="spellEnd"/>
      <w:r>
        <w:rPr>
          <w:sz w:val="20"/>
          <w:szCs w:val="20"/>
        </w:rPr>
        <w:t xml:space="preserve">, </w:t>
      </w:r>
      <w:proofErr w:type="spellStart"/>
      <w:r>
        <w:rPr>
          <w:sz w:val="20"/>
          <w:szCs w:val="20"/>
        </w:rPr>
        <w:t>Berloz</w:t>
      </w:r>
      <w:proofErr w:type="spellEnd"/>
      <w:r>
        <w:rPr>
          <w:sz w:val="20"/>
          <w:szCs w:val="20"/>
        </w:rPr>
        <w:t xml:space="preserve">, Braives, </w:t>
      </w:r>
      <w:proofErr w:type="spellStart"/>
      <w:r>
        <w:rPr>
          <w:sz w:val="20"/>
          <w:szCs w:val="20"/>
        </w:rPr>
        <w:t>Burdinne</w:t>
      </w:r>
      <w:proofErr w:type="spellEnd"/>
      <w:r>
        <w:rPr>
          <w:sz w:val="20"/>
          <w:szCs w:val="20"/>
        </w:rPr>
        <w:t xml:space="preserve">, Clavier, </w:t>
      </w:r>
      <w:proofErr w:type="spellStart"/>
      <w:r>
        <w:rPr>
          <w:sz w:val="20"/>
          <w:szCs w:val="20"/>
        </w:rPr>
        <w:t>Crisnée</w:t>
      </w:r>
      <w:proofErr w:type="spellEnd"/>
      <w:r>
        <w:rPr>
          <w:sz w:val="20"/>
          <w:szCs w:val="20"/>
        </w:rPr>
        <w:t xml:space="preserve">, </w:t>
      </w:r>
      <w:proofErr w:type="spellStart"/>
      <w:r>
        <w:rPr>
          <w:sz w:val="20"/>
          <w:szCs w:val="20"/>
        </w:rPr>
        <w:t>Donceel</w:t>
      </w:r>
      <w:proofErr w:type="spellEnd"/>
      <w:r>
        <w:rPr>
          <w:sz w:val="20"/>
          <w:szCs w:val="20"/>
        </w:rPr>
        <w:t xml:space="preserve">, Engis, </w:t>
      </w:r>
      <w:proofErr w:type="spellStart"/>
      <w:r>
        <w:rPr>
          <w:sz w:val="20"/>
          <w:szCs w:val="20"/>
        </w:rPr>
        <w:t>Faimes</w:t>
      </w:r>
      <w:proofErr w:type="spellEnd"/>
      <w:r>
        <w:rPr>
          <w:sz w:val="20"/>
          <w:szCs w:val="20"/>
        </w:rPr>
        <w:t xml:space="preserve">, Ferrières, </w:t>
      </w:r>
      <w:proofErr w:type="spellStart"/>
      <w:r>
        <w:rPr>
          <w:sz w:val="20"/>
          <w:szCs w:val="20"/>
        </w:rPr>
        <w:t>Fexhe</w:t>
      </w:r>
      <w:proofErr w:type="spellEnd"/>
      <w:r>
        <w:rPr>
          <w:sz w:val="20"/>
          <w:szCs w:val="20"/>
        </w:rPr>
        <w:t xml:space="preserve">-le-Haut-Clocher, </w:t>
      </w:r>
      <w:proofErr w:type="spellStart"/>
      <w:r>
        <w:rPr>
          <w:sz w:val="20"/>
          <w:szCs w:val="20"/>
        </w:rPr>
        <w:t>Geer</w:t>
      </w:r>
      <w:proofErr w:type="spellEnd"/>
      <w:r>
        <w:rPr>
          <w:sz w:val="20"/>
          <w:szCs w:val="20"/>
        </w:rPr>
        <w:t xml:space="preserve">, </w:t>
      </w:r>
      <w:proofErr w:type="spellStart"/>
      <w:r>
        <w:rPr>
          <w:sz w:val="20"/>
          <w:szCs w:val="20"/>
        </w:rPr>
        <w:t>Hamoir</w:t>
      </w:r>
      <w:proofErr w:type="spellEnd"/>
      <w:r>
        <w:rPr>
          <w:sz w:val="20"/>
          <w:szCs w:val="20"/>
        </w:rPr>
        <w:t xml:space="preserve">, Hannut, Héron, Huy, </w:t>
      </w:r>
      <w:proofErr w:type="spellStart"/>
      <w:r>
        <w:rPr>
          <w:sz w:val="20"/>
          <w:szCs w:val="20"/>
        </w:rPr>
        <w:t>Lincent</w:t>
      </w:r>
      <w:proofErr w:type="spellEnd"/>
      <w:r>
        <w:rPr>
          <w:sz w:val="20"/>
          <w:szCs w:val="20"/>
        </w:rPr>
        <w:t xml:space="preserve">, </w:t>
      </w:r>
      <w:proofErr w:type="spellStart"/>
      <w:r>
        <w:rPr>
          <w:sz w:val="20"/>
          <w:szCs w:val="20"/>
        </w:rPr>
        <w:t>Marchin</w:t>
      </w:r>
      <w:proofErr w:type="spellEnd"/>
      <w:r>
        <w:rPr>
          <w:sz w:val="20"/>
          <w:szCs w:val="20"/>
        </w:rPr>
        <w:t xml:space="preserve">, </w:t>
      </w:r>
      <w:proofErr w:type="spellStart"/>
      <w:r>
        <w:rPr>
          <w:sz w:val="20"/>
          <w:szCs w:val="20"/>
        </w:rPr>
        <w:t>Modave</w:t>
      </w:r>
      <w:proofErr w:type="spellEnd"/>
      <w:r>
        <w:rPr>
          <w:sz w:val="20"/>
          <w:szCs w:val="20"/>
        </w:rPr>
        <w:t xml:space="preserve">, </w:t>
      </w:r>
      <w:proofErr w:type="spellStart"/>
      <w:r>
        <w:rPr>
          <w:sz w:val="20"/>
          <w:szCs w:val="20"/>
        </w:rPr>
        <w:t>Nandrin</w:t>
      </w:r>
      <w:proofErr w:type="spellEnd"/>
      <w:r>
        <w:rPr>
          <w:sz w:val="20"/>
          <w:szCs w:val="20"/>
        </w:rPr>
        <w:t xml:space="preserve">, </w:t>
      </w:r>
      <w:proofErr w:type="spellStart"/>
      <w:r>
        <w:rPr>
          <w:sz w:val="20"/>
          <w:szCs w:val="20"/>
        </w:rPr>
        <w:t>Oreye</w:t>
      </w:r>
      <w:proofErr w:type="spellEnd"/>
      <w:r>
        <w:rPr>
          <w:sz w:val="20"/>
          <w:szCs w:val="20"/>
        </w:rPr>
        <w:t xml:space="preserve">, </w:t>
      </w:r>
      <w:proofErr w:type="spellStart"/>
      <w:r>
        <w:rPr>
          <w:sz w:val="20"/>
          <w:szCs w:val="20"/>
        </w:rPr>
        <w:t>Ouffet</w:t>
      </w:r>
      <w:proofErr w:type="spellEnd"/>
      <w:r>
        <w:rPr>
          <w:sz w:val="20"/>
          <w:szCs w:val="20"/>
        </w:rPr>
        <w:t xml:space="preserve">, </w:t>
      </w:r>
      <w:proofErr w:type="spellStart"/>
      <w:r>
        <w:rPr>
          <w:sz w:val="20"/>
          <w:szCs w:val="20"/>
        </w:rPr>
        <w:t>Remicourt</w:t>
      </w:r>
      <w:proofErr w:type="spellEnd"/>
      <w:r>
        <w:rPr>
          <w:sz w:val="20"/>
          <w:szCs w:val="20"/>
        </w:rPr>
        <w:t xml:space="preserve">, Saint-Georges-sur-Meuse, </w:t>
      </w:r>
      <w:proofErr w:type="spellStart"/>
      <w:r>
        <w:rPr>
          <w:sz w:val="20"/>
          <w:szCs w:val="20"/>
        </w:rPr>
        <w:t>Tinlot</w:t>
      </w:r>
      <w:proofErr w:type="spellEnd"/>
      <w:r>
        <w:rPr>
          <w:sz w:val="20"/>
          <w:szCs w:val="20"/>
        </w:rPr>
        <w:t xml:space="preserve">, Verlaine, Villers-le-Bouillet, Wanze, Waremme, </w:t>
      </w:r>
      <w:proofErr w:type="spellStart"/>
      <w:r>
        <w:rPr>
          <w:sz w:val="20"/>
          <w:szCs w:val="20"/>
        </w:rPr>
        <w:t>Wasseiges</w:t>
      </w:r>
      <w:proofErr w:type="spellEnd"/>
      <w:r>
        <w:rPr>
          <w:sz w:val="20"/>
          <w:szCs w:val="20"/>
        </w:rPr>
        <w:t>.</w:t>
      </w:r>
    </w:p>
    <w:tbl>
      <w:tblPr>
        <w:tblStyle w:val="Grilledutableau"/>
        <w:tblW w:w="0" w:type="auto"/>
        <w:tblLook w:val="04A0" w:firstRow="1" w:lastRow="0" w:firstColumn="1" w:lastColumn="0" w:noHBand="0" w:noVBand="1"/>
      </w:tblPr>
      <w:tblGrid>
        <w:gridCol w:w="6996"/>
        <w:gridCol w:w="6996"/>
      </w:tblGrid>
      <w:tr>
        <w:tc>
          <w:tcPr>
            <w:tcW w:w="6996" w:type="dxa"/>
          </w:tcPr>
          <w:p>
            <w:pPr>
              <w:pStyle w:val="Corpsdetexte"/>
              <w:jc w:val="left"/>
              <w:rPr>
                <w:sz w:val="20"/>
                <w:szCs w:val="20"/>
              </w:rPr>
            </w:pPr>
            <w:r>
              <w:rPr>
                <w:b/>
                <w:sz w:val="20"/>
                <w:szCs w:val="20"/>
              </w:rPr>
              <w:t>Zone 04</w:t>
            </w:r>
            <w:r>
              <w:rPr>
                <w:sz w:val="20"/>
                <w:szCs w:val="20"/>
              </w:rPr>
              <w:t xml:space="preserve"> </w:t>
            </w:r>
            <w:r>
              <w:rPr>
                <w:b/>
                <w:sz w:val="20"/>
                <w:szCs w:val="20"/>
              </w:rPr>
              <w:t>/ Bassin EFE de Liège</w:t>
            </w:r>
          </w:p>
        </w:tc>
        <w:tc>
          <w:tcPr>
            <w:tcW w:w="6996" w:type="dxa"/>
          </w:tcPr>
          <w:p>
            <w:pPr>
              <w:pStyle w:val="Corpsdetexte"/>
              <w:jc w:val="center"/>
              <w:rPr>
                <w:b/>
                <w:sz w:val="20"/>
                <w:szCs w:val="20"/>
              </w:rPr>
            </w:pPr>
            <w:r>
              <w:rPr>
                <w:b/>
                <w:sz w:val="20"/>
                <w:szCs w:val="20"/>
              </w:rPr>
              <w:t>e-mail : cza.zone04@gmail.com</w:t>
            </w:r>
          </w:p>
        </w:tc>
      </w:tr>
    </w:tbl>
    <w:p>
      <w:pPr>
        <w:pStyle w:val="Corpsdetexte"/>
        <w:rPr>
          <w:sz w:val="20"/>
          <w:szCs w:val="20"/>
        </w:rPr>
      </w:pPr>
      <w:r>
        <w:rPr>
          <w:sz w:val="20"/>
          <w:szCs w:val="20"/>
        </w:rPr>
        <w:t xml:space="preserve">Ans, Awans, Aywaille, Bassenge, Beyne-Heusay, Blegny, Chaudfontaine, Comblain-au-Pont, Dalhem, Esneux, Flémalle, Fléron, Grâce-Hollogne, Herstal, Juprelle, Liège, </w:t>
      </w:r>
      <w:proofErr w:type="spellStart"/>
      <w:r>
        <w:rPr>
          <w:sz w:val="20"/>
          <w:szCs w:val="20"/>
        </w:rPr>
        <w:t>Neupré</w:t>
      </w:r>
      <w:proofErr w:type="spellEnd"/>
      <w:r>
        <w:rPr>
          <w:sz w:val="20"/>
          <w:szCs w:val="20"/>
        </w:rPr>
        <w:t>, Oupeye, Saint-Nicolas, Seraing, Soumagne, Sprimont, Trooz, Visé.</w:t>
      </w:r>
    </w:p>
    <w:tbl>
      <w:tblPr>
        <w:tblStyle w:val="Grilledutableau"/>
        <w:tblW w:w="0" w:type="auto"/>
        <w:tblLook w:val="04A0" w:firstRow="1" w:lastRow="0" w:firstColumn="1" w:lastColumn="0" w:noHBand="0" w:noVBand="1"/>
      </w:tblPr>
      <w:tblGrid>
        <w:gridCol w:w="6996"/>
        <w:gridCol w:w="6996"/>
      </w:tblGrid>
      <w:tr>
        <w:tc>
          <w:tcPr>
            <w:tcW w:w="6996" w:type="dxa"/>
          </w:tcPr>
          <w:p>
            <w:pPr>
              <w:pStyle w:val="Corpsdetexte"/>
              <w:jc w:val="left"/>
              <w:rPr>
                <w:sz w:val="20"/>
                <w:szCs w:val="20"/>
              </w:rPr>
            </w:pPr>
            <w:r>
              <w:rPr>
                <w:b/>
                <w:sz w:val="20"/>
                <w:szCs w:val="20"/>
              </w:rPr>
              <w:t>Zone 05</w:t>
            </w:r>
            <w:r>
              <w:rPr>
                <w:sz w:val="20"/>
                <w:szCs w:val="20"/>
              </w:rPr>
              <w:t xml:space="preserve"> </w:t>
            </w:r>
            <w:r>
              <w:rPr>
                <w:b/>
                <w:sz w:val="20"/>
                <w:szCs w:val="20"/>
              </w:rPr>
              <w:t>/ Bassin EFE de Verviers</w:t>
            </w:r>
          </w:p>
        </w:tc>
        <w:tc>
          <w:tcPr>
            <w:tcW w:w="6996" w:type="dxa"/>
          </w:tcPr>
          <w:p>
            <w:pPr>
              <w:pStyle w:val="Corpsdetexte"/>
              <w:jc w:val="center"/>
              <w:rPr>
                <w:b/>
                <w:sz w:val="20"/>
                <w:szCs w:val="20"/>
              </w:rPr>
            </w:pPr>
            <w:r>
              <w:rPr>
                <w:b/>
                <w:sz w:val="20"/>
                <w:szCs w:val="20"/>
              </w:rPr>
              <w:t>e-mail : cza.zone05@gmail.com</w:t>
            </w:r>
          </w:p>
        </w:tc>
      </w:tr>
    </w:tbl>
    <w:p>
      <w:pPr>
        <w:pStyle w:val="Corpsdetexte"/>
        <w:rPr>
          <w:sz w:val="20"/>
          <w:szCs w:val="20"/>
        </w:rPr>
      </w:pPr>
      <w:proofErr w:type="spellStart"/>
      <w:r>
        <w:rPr>
          <w:sz w:val="20"/>
          <w:szCs w:val="20"/>
        </w:rPr>
        <w:t>Aubel</w:t>
      </w:r>
      <w:proofErr w:type="spellEnd"/>
      <w:r>
        <w:rPr>
          <w:sz w:val="20"/>
          <w:szCs w:val="20"/>
        </w:rPr>
        <w:t xml:space="preserve">, </w:t>
      </w:r>
      <w:proofErr w:type="spellStart"/>
      <w:r>
        <w:rPr>
          <w:sz w:val="20"/>
          <w:szCs w:val="20"/>
        </w:rPr>
        <w:t>Baelen</w:t>
      </w:r>
      <w:proofErr w:type="spellEnd"/>
      <w:r>
        <w:rPr>
          <w:sz w:val="20"/>
          <w:szCs w:val="20"/>
        </w:rPr>
        <w:t xml:space="preserve">, Dison, Herve, Jalhay, </w:t>
      </w:r>
      <w:proofErr w:type="spellStart"/>
      <w:r>
        <w:rPr>
          <w:sz w:val="20"/>
          <w:szCs w:val="20"/>
        </w:rPr>
        <w:t>Liemeux</w:t>
      </w:r>
      <w:proofErr w:type="spellEnd"/>
      <w:r>
        <w:rPr>
          <w:sz w:val="20"/>
          <w:szCs w:val="20"/>
        </w:rPr>
        <w:t xml:space="preserve">, Limbourg, Malmedy, </w:t>
      </w:r>
      <w:proofErr w:type="spellStart"/>
      <w:r>
        <w:rPr>
          <w:sz w:val="20"/>
          <w:szCs w:val="20"/>
        </w:rPr>
        <w:t>Olne</w:t>
      </w:r>
      <w:proofErr w:type="spellEnd"/>
      <w:r>
        <w:rPr>
          <w:sz w:val="20"/>
          <w:szCs w:val="20"/>
        </w:rPr>
        <w:t xml:space="preserve">, Pepinster, Plombières, Spa, Stavelot, </w:t>
      </w:r>
      <w:proofErr w:type="spellStart"/>
      <w:r>
        <w:rPr>
          <w:sz w:val="20"/>
          <w:szCs w:val="20"/>
        </w:rPr>
        <w:t>Stoumont</w:t>
      </w:r>
      <w:proofErr w:type="spellEnd"/>
      <w:r>
        <w:rPr>
          <w:sz w:val="20"/>
          <w:szCs w:val="20"/>
        </w:rPr>
        <w:t xml:space="preserve">, Theux, </w:t>
      </w:r>
      <w:proofErr w:type="spellStart"/>
      <w:r>
        <w:rPr>
          <w:sz w:val="20"/>
          <w:szCs w:val="20"/>
        </w:rPr>
        <w:t>Thimister</w:t>
      </w:r>
      <w:proofErr w:type="spellEnd"/>
      <w:r>
        <w:rPr>
          <w:sz w:val="20"/>
          <w:szCs w:val="20"/>
        </w:rPr>
        <w:t>-Clermont, Trois-Ponts, Verviers, Waimes, Welkenraedt.</w:t>
      </w:r>
    </w:p>
    <w:tbl>
      <w:tblPr>
        <w:tblStyle w:val="Grilledutableau"/>
        <w:tblW w:w="0" w:type="auto"/>
        <w:tblLook w:val="04A0" w:firstRow="1" w:lastRow="0" w:firstColumn="1" w:lastColumn="0" w:noHBand="0" w:noVBand="1"/>
      </w:tblPr>
      <w:tblGrid>
        <w:gridCol w:w="6996"/>
        <w:gridCol w:w="6996"/>
      </w:tblGrid>
      <w:tr>
        <w:tc>
          <w:tcPr>
            <w:tcW w:w="6996" w:type="dxa"/>
          </w:tcPr>
          <w:p>
            <w:pPr>
              <w:pStyle w:val="Corpsdetexte"/>
              <w:jc w:val="left"/>
              <w:rPr>
                <w:sz w:val="20"/>
                <w:szCs w:val="20"/>
              </w:rPr>
            </w:pPr>
            <w:r>
              <w:rPr>
                <w:b/>
                <w:sz w:val="20"/>
                <w:szCs w:val="20"/>
              </w:rPr>
              <w:t>Zone 06</w:t>
            </w:r>
            <w:r>
              <w:rPr>
                <w:sz w:val="20"/>
                <w:szCs w:val="20"/>
              </w:rPr>
              <w:t xml:space="preserve">  </w:t>
            </w:r>
            <w:r>
              <w:rPr>
                <w:b/>
                <w:sz w:val="20"/>
                <w:szCs w:val="20"/>
              </w:rPr>
              <w:t>/ Bassin EFE de Namur</w:t>
            </w:r>
          </w:p>
        </w:tc>
        <w:tc>
          <w:tcPr>
            <w:tcW w:w="6996" w:type="dxa"/>
          </w:tcPr>
          <w:p>
            <w:pPr>
              <w:pStyle w:val="Corpsdetexte"/>
              <w:jc w:val="center"/>
              <w:rPr>
                <w:b/>
                <w:sz w:val="20"/>
                <w:szCs w:val="20"/>
              </w:rPr>
            </w:pPr>
            <w:r>
              <w:rPr>
                <w:b/>
                <w:sz w:val="20"/>
                <w:szCs w:val="20"/>
              </w:rPr>
              <w:t>e-mail : cza.zone06@gmail.com</w:t>
            </w:r>
          </w:p>
        </w:tc>
      </w:tr>
    </w:tbl>
    <w:p>
      <w:pPr>
        <w:pStyle w:val="Corpsdetexte"/>
        <w:rPr>
          <w:sz w:val="20"/>
          <w:szCs w:val="20"/>
        </w:rPr>
      </w:pPr>
      <w:r>
        <w:rPr>
          <w:sz w:val="20"/>
          <w:szCs w:val="20"/>
        </w:rPr>
        <w:t xml:space="preserve">Andenne, Anhée, Assesse, Beauraing Bièvre, Ciney, Dinant, </w:t>
      </w:r>
      <w:proofErr w:type="spellStart"/>
      <w:r>
        <w:rPr>
          <w:sz w:val="20"/>
          <w:szCs w:val="20"/>
        </w:rPr>
        <w:t>Doische</w:t>
      </w:r>
      <w:proofErr w:type="spellEnd"/>
      <w:r>
        <w:rPr>
          <w:sz w:val="20"/>
          <w:szCs w:val="20"/>
        </w:rPr>
        <w:t xml:space="preserve">, Éghezée, </w:t>
      </w:r>
      <w:proofErr w:type="spellStart"/>
      <w:r>
        <w:rPr>
          <w:sz w:val="20"/>
          <w:szCs w:val="20"/>
        </w:rPr>
        <w:t>Fernelmont</w:t>
      </w:r>
      <w:proofErr w:type="spellEnd"/>
      <w:r>
        <w:rPr>
          <w:sz w:val="20"/>
          <w:szCs w:val="20"/>
        </w:rPr>
        <w:t xml:space="preserve">, Floreffe, Florennes, Fosses-la-Ville, </w:t>
      </w:r>
      <w:proofErr w:type="spellStart"/>
      <w:r>
        <w:rPr>
          <w:sz w:val="20"/>
          <w:szCs w:val="20"/>
        </w:rPr>
        <w:t>Gedinne</w:t>
      </w:r>
      <w:proofErr w:type="spellEnd"/>
      <w:r>
        <w:rPr>
          <w:sz w:val="20"/>
          <w:szCs w:val="20"/>
        </w:rPr>
        <w:t xml:space="preserve">, Gembloux, </w:t>
      </w:r>
      <w:proofErr w:type="spellStart"/>
      <w:r>
        <w:rPr>
          <w:sz w:val="20"/>
          <w:szCs w:val="20"/>
        </w:rPr>
        <w:t>Gesves</w:t>
      </w:r>
      <w:proofErr w:type="spellEnd"/>
      <w:r>
        <w:rPr>
          <w:sz w:val="20"/>
          <w:szCs w:val="20"/>
        </w:rPr>
        <w:t xml:space="preserve">, Hamois, </w:t>
      </w:r>
      <w:proofErr w:type="spellStart"/>
      <w:r>
        <w:rPr>
          <w:sz w:val="20"/>
          <w:szCs w:val="20"/>
        </w:rPr>
        <w:t>Hastière</w:t>
      </w:r>
      <w:proofErr w:type="spellEnd"/>
      <w:r>
        <w:rPr>
          <w:sz w:val="20"/>
          <w:szCs w:val="20"/>
        </w:rPr>
        <w:t xml:space="preserve">, </w:t>
      </w:r>
      <w:proofErr w:type="spellStart"/>
      <w:r>
        <w:rPr>
          <w:sz w:val="20"/>
          <w:szCs w:val="20"/>
        </w:rPr>
        <w:t>Havelange</w:t>
      </w:r>
      <w:proofErr w:type="spellEnd"/>
      <w:r>
        <w:rPr>
          <w:sz w:val="20"/>
          <w:szCs w:val="20"/>
        </w:rPr>
        <w:t xml:space="preserve">, </w:t>
      </w:r>
      <w:proofErr w:type="spellStart"/>
      <w:r>
        <w:rPr>
          <w:sz w:val="20"/>
          <w:szCs w:val="20"/>
        </w:rPr>
        <w:t>Houyet</w:t>
      </w:r>
      <w:proofErr w:type="spellEnd"/>
      <w:r>
        <w:rPr>
          <w:sz w:val="20"/>
          <w:szCs w:val="20"/>
        </w:rPr>
        <w:t xml:space="preserve">, Jemeppe-sur-Sambre, </w:t>
      </w:r>
      <w:smartTag w:uri="urn:schemas-microsoft-com:office:smarttags" w:element="PersonName">
        <w:smartTagPr>
          <w:attr w:name="ProductID" w:val="La Bruy￨re"/>
        </w:smartTagPr>
        <w:r>
          <w:rPr>
            <w:sz w:val="20"/>
            <w:szCs w:val="20"/>
          </w:rPr>
          <w:t>La Bruyère</w:t>
        </w:r>
      </w:smartTag>
      <w:r>
        <w:rPr>
          <w:sz w:val="20"/>
          <w:szCs w:val="20"/>
        </w:rPr>
        <w:t xml:space="preserve">, Mettet, Namur, </w:t>
      </w:r>
      <w:proofErr w:type="spellStart"/>
      <w:r>
        <w:rPr>
          <w:sz w:val="20"/>
          <w:szCs w:val="20"/>
        </w:rPr>
        <w:t>Ohey</w:t>
      </w:r>
      <w:proofErr w:type="spellEnd"/>
      <w:r>
        <w:rPr>
          <w:sz w:val="20"/>
          <w:szCs w:val="20"/>
        </w:rPr>
        <w:t xml:space="preserve">, </w:t>
      </w:r>
      <w:proofErr w:type="spellStart"/>
      <w:r>
        <w:rPr>
          <w:sz w:val="20"/>
          <w:szCs w:val="20"/>
        </w:rPr>
        <w:t>Onhaye</w:t>
      </w:r>
      <w:proofErr w:type="spellEnd"/>
      <w:r>
        <w:rPr>
          <w:sz w:val="20"/>
          <w:szCs w:val="20"/>
        </w:rPr>
        <w:t xml:space="preserve">, Profondeville, Rochefort, Sambreville, Sombreffe, Somme-Leuze, </w:t>
      </w:r>
      <w:proofErr w:type="spellStart"/>
      <w:r>
        <w:rPr>
          <w:sz w:val="20"/>
          <w:szCs w:val="20"/>
        </w:rPr>
        <w:t>Vresse</w:t>
      </w:r>
      <w:proofErr w:type="spellEnd"/>
      <w:r>
        <w:rPr>
          <w:sz w:val="20"/>
          <w:szCs w:val="20"/>
        </w:rPr>
        <w:t>-sur-Semois, Yvoir.</w:t>
      </w:r>
    </w:p>
    <w:tbl>
      <w:tblPr>
        <w:tblStyle w:val="Grilledutableau"/>
        <w:tblW w:w="0" w:type="auto"/>
        <w:tblLook w:val="04A0" w:firstRow="1" w:lastRow="0" w:firstColumn="1" w:lastColumn="0" w:noHBand="0" w:noVBand="1"/>
      </w:tblPr>
      <w:tblGrid>
        <w:gridCol w:w="6996"/>
        <w:gridCol w:w="6996"/>
      </w:tblGrid>
      <w:tr>
        <w:tc>
          <w:tcPr>
            <w:tcW w:w="6996" w:type="dxa"/>
          </w:tcPr>
          <w:p>
            <w:pPr>
              <w:pStyle w:val="Corpsdetexte"/>
              <w:jc w:val="left"/>
              <w:rPr>
                <w:sz w:val="20"/>
                <w:szCs w:val="20"/>
              </w:rPr>
            </w:pPr>
            <w:r>
              <w:rPr>
                <w:b/>
                <w:sz w:val="20"/>
                <w:szCs w:val="20"/>
              </w:rPr>
              <w:t>Zone 07</w:t>
            </w:r>
            <w:r>
              <w:rPr>
                <w:sz w:val="20"/>
                <w:szCs w:val="20"/>
              </w:rPr>
              <w:t xml:space="preserve"> </w:t>
            </w:r>
            <w:r>
              <w:rPr>
                <w:b/>
                <w:sz w:val="20"/>
                <w:szCs w:val="20"/>
              </w:rPr>
              <w:t>/ Bassin EFE de Luxembourg</w:t>
            </w:r>
          </w:p>
        </w:tc>
        <w:tc>
          <w:tcPr>
            <w:tcW w:w="6996" w:type="dxa"/>
          </w:tcPr>
          <w:p>
            <w:pPr>
              <w:pStyle w:val="Corpsdetexte"/>
              <w:jc w:val="center"/>
              <w:rPr>
                <w:b/>
                <w:sz w:val="20"/>
                <w:szCs w:val="20"/>
              </w:rPr>
            </w:pPr>
            <w:r>
              <w:rPr>
                <w:b/>
                <w:sz w:val="20"/>
                <w:szCs w:val="20"/>
              </w:rPr>
              <w:t>e-mail : cza.zone07@gmail.com</w:t>
            </w:r>
          </w:p>
        </w:tc>
      </w:tr>
    </w:tbl>
    <w:p>
      <w:pPr>
        <w:pStyle w:val="Corpsdetexte"/>
        <w:rPr>
          <w:sz w:val="20"/>
          <w:szCs w:val="20"/>
        </w:rPr>
      </w:pPr>
      <w:r>
        <w:rPr>
          <w:sz w:val="20"/>
          <w:szCs w:val="20"/>
        </w:rPr>
        <w:t xml:space="preserve">Arlon, </w:t>
      </w:r>
      <w:proofErr w:type="spellStart"/>
      <w:r>
        <w:rPr>
          <w:sz w:val="20"/>
          <w:szCs w:val="20"/>
        </w:rPr>
        <w:t>Attert</w:t>
      </w:r>
      <w:proofErr w:type="spellEnd"/>
      <w:r>
        <w:rPr>
          <w:sz w:val="20"/>
          <w:szCs w:val="20"/>
        </w:rPr>
        <w:t xml:space="preserve">, Aubange, Bastogne, </w:t>
      </w:r>
      <w:proofErr w:type="spellStart"/>
      <w:r>
        <w:rPr>
          <w:sz w:val="20"/>
          <w:szCs w:val="20"/>
        </w:rPr>
        <w:t>Bertogne</w:t>
      </w:r>
      <w:proofErr w:type="spellEnd"/>
      <w:r>
        <w:rPr>
          <w:sz w:val="20"/>
          <w:szCs w:val="20"/>
        </w:rPr>
        <w:t xml:space="preserve">, Bertrix, Bouillon, Chiny, </w:t>
      </w:r>
      <w:proofErr w:type="spellStart"/>
      <w:r>
        <w:rPr>
          <w:sz w:val="20"/>
          <w:szCs w:val="20"/>
        </w:rPr>
        <w:t>Daverdisse</w:t>
      </w:r>
      <w:proofErr w:type="spellEnd"/>
      <w:r>
        <w:rPr>
          <w:sz w:val="20"/>
          <w:szCs w:val="20"/>
        </w:rPr>
        <w:t xml:space="preserve">, Durbuy, </w:t>
      </w:r>
      <w:proofErr w:type="spellStart"/>
      <w:r>
        <w:rPr>
          <w:sz w:val="20"/>
          <w:szCs w:val="20"/>
        </w:rPr>
        <w:t>Erezée</w:t>
      </w:r>
      <w:proofErr w:type="spellEnd"/>
      <w:r>
        <w:rPr>
          <w:sz w:val="20"/>
          <w:szCs w:val="20"/>
        </w:rPr>
        <w:t xml:space="preserve">, </w:t>
      </w:r>
      <w:proofErr w:type="spellStart"/>
      <w:r>
        <w:rPr>
          <w:sz w:val="20"/>
          <w:szCs w:val="20"/>
        </w:rPr>
        <w:t>Etalle</w:t>
      </w:r>
      <w:proofErr w:type="spellEnd"/>
      <w:r>
        <w:rPr>
          <w:sz w:val="20"/>
          <w:szCs w:val="20"/>
        </w:rPr>
        <w:t xml:space="preserve">, </w:t>
      </w:r>
      <w:proofErr w:type="spellStart"/>
      <w:r>
        <w:rPr>
          <w:sz w:val="20"/>
          <w:szCs w:val="20"/>
        </w:rPr>
        <w:t>Fauvillers</w:t>
      </w:r>
      <w:proofErr w:type="spellEnd"/>
      <w:r>
        <w:rPr>
          <w:sz w:val="20"/>
          <w:szCs w:val="20"/>
        </w:rPr>
        <w:t xml:space="preserve">, Florenville, </w:t>
      </w:r>
      <w:proofErr w:type="spellStart"/>
      <w:r>
        <w:rPr>
          <w:sz w:val="20"/>
          <w:szCs w:val="20"/>
        </w:rPr>
        <w:t>Gouvy</w:t>
      </w:r>
      <w:proofErr w:type="spellEnd"/>
      <w:r>
        <w:rPr>
          <w:sz w:val="20"/>
          <w:szCs w:val="20"/>
        </w:rPr>
        <w:t xml:space="preserve">, </w:t>
      </w:r>
      <w:proofErr w:type="spellStart"/>
      <w:r>
        <w:rPr>
          <w:sz w:val="20"/>
          <w:szCs w:val="20"/>
        </w:rPr>
        <w:t>Habay</w:t>
      </w:r>
      <w:proofErr w:type="spellEnd"/>
      <w:r>
        <w:rPr>
          <w:sz w:val="20"/>
          <w:szCs w:val="20"/>
        </w:rPr>
        <w:t xml:space="preserve">, </w:t>
      </w:r>
      <w:proofErr w:type="spellStart"/>
      <w:r>
        <w:rPr>
          <w:sz w:val="20"/>
          <w:szCs w:val="20"/>
        </w:rPr>
        <w:t>Herbeumont</w:t>
      </w:r>
      <w:proofErr w:type="spellEnd"/>
      <w:r>
        <w:rPr>
          <w:sz w:val="20"/>
          <w:szCs w:val="20"/>
        </w:rPr>
        <w:t xml:space="preserve">, </w:t>
      </w:r>
      <w:proofErr w:type="spellStart"/>
      <w:r>
        <w:rPr>
          <w:sz w:val="20"/>
          <w:szCs w:val="20"/>
        </w:rPr>
        <w:t>Hotton</w:t>
      </w:r>
      <w:proofErr w:type="spellEnd"/>
      <w:r>
        <w:rPr>
          <w:sz w:val="20"/>
          <w:szCs w:val="20"/>
        </w:rPr>
        <w:t xml:space="preserve">, </w:t>
      </w:r>
      <w:proofErr w:type="spellStart"/>
      <w:r>
        <w:rPr>
          <w:sz w:val="20"/>
          <w:szCs w:val="20"/>
        </w:rPr>
        <w:t>Houffalize</w:t>
      </w:r>
      <w:proofErr w:type="spellEnd"/>
      <w:r>
        <w:rPr>
          <w:sz w:val="20"/>
          <w:szCs w:val="20"/>
        </w:rPr>
        <w:t xml:space="preserve">, La-Roche-en-Ardenne, </w:t>
      </w:r>
      <w:proofErr w:type="spellStart"/>
      <w:r>
        <w:rPr>
          <w:sz w:val="20"/>
          <w:szCs w:val="20"/>
        </w:rPr>
        <w:t>Léglise</w:t>
      </w:r>
      <w:proofErr w:type="spellEnd"/>
      <w:r>
        <w:rPr>
          <w:sz w:val="20"/>
          <w:szCs w:val="20"/>
        </w:rPr>
        <w:t xml:space="preserve">, </w:t>
      </w:r>
      <w:proofErr w:type="spellStart"/>
      <w:r>
        <w:rPr>
          <w:sz w:val="20"/>
          <w:szCs w:val="20"/>
        </w:rPr>
        <w:t>Libin</w:t>
      </w:r>
      <w:proofErr w:type="spellEnd"/>
      <w:r>
        <w:rPr>
          <w:sz w:val="20"/>
          <w:szCs w:val="20"/>
        </w:rPr>
        <w:t xml:space="preserve">, Libramont-Chevigny, </w:t>
      </w:r>
      <w:proofErr w:type="spellStart"/>
      <w:r>
        <w:rPr>
          <w:sz w:val="20"/>
          <w:szCs w:val="20"/>
        </w:rPr>
        <w:t>Manhay</w:t>
      </w:r>
      <w:proofErr w:type="spellEnd"/>
      <w:r>
        <w:rPr>
          <w:sz w:val="20"/>
          <w:szCs w:val="20"/>
        </w:rPr>
        <w:t xml:space="preserve">, Marche-en-Famenne, </w:t>
      </w:r>
      <w:proofErr w:type="spellStart"/>
      <w:r>
        <w:rPr>
          <w:sz w:val="20"/>
          <w:szCs w:val="20"/>
        </w:rPr>
        <w:t>Martelange</w:t>
      </w:r>
      <w:proofErr w:type="spellEnd"/>
      <w:r>
        <w:rPr>
          <w:sz w:val="20"/>
          <w:szCs w:val="20"/>
        </w:rPr>
        <w:t xml:space="preserve">, Messancy, </w:t>
      </w:r>
      <w:proofErr w:type="spellStart"/>
      <w:r>
        <w:rPr>
          <w:sz w:val="20"/>
          <w:szCs w:val="20"/>
        </w:rPr>
        <w:t>Meix</w:t>
      </w:r>
      <w:proofErr w:type="spellEnd"/>
      <w:r>
        <w:rPr>
          <w:sz w:val="20"/>
          <w:szCs w:val="20"/>
        </w:rPr>
        <w:t xml:space="preserve">-devant-Virton, </w:t>
      </w:r>
      <w:proofErr w:type="spellStart"/>
      <w:r>
        <w:rPr>
          <w:sz w:val="20"/>
          <w:szCs w:val="20"/>
        </w:rPr>
        <w:t>Musson</w:t>
      </w:r>
      <w:proofErr w:type="spellEnd"/>
      <w:r>
        <w:rPr>
          <w:sz w:val="20"/>
          <w:szCs w:val="20"/>
        </w:rPr>
        <w:t xml:space="preserve">, </w:t>
      </w:r>
      <w:proofErr w:type="spellStart"/>
      <w:r>
        <w:rPr>
          <w:sz w:val="20"/>
          <w:szCs w:val="20"/>
        </w:rPr>
        <w:t>Nassogne</w:t>
      </w:r>
      <w:proofErr w:type="spellEnd"/>
      <w:r>
        <w:rPr>
          <w:sz w:val="20"/>
          <w:szCs w:val="20"/>
        </w:rPr>
        <w:t xml:space="preserve">, </w:t>
      </w:r>
      <w:proofErr w:type="spellStart"/>
      <w:r>
        <w:rPr>
          <w:sz w:val="20"/>
          <w:szCs w:val="20"/>
        </w:rPr>
        <w:t>Neuchateau</w:t>
      </w:r>
      <w:proofErr w:type="spellEnd"/>
      <w:r>
        <w:rPr>
          <w:sz w:val="20"/>
          <w:szCs w:val="20"/>
        </w:rPr>
        <w:t xml:space="preserve">, </w:t>
      </w:r>
      <w:proofErr w:type="spellStart"/>
      <w:r>
        <w:rPr>
          <w:sz w:val="20"/>
          <w:szCs w:val="20"/>
        </w:rPr>
        <w:t>Paliseul</w:t>
      </w:r>
      <w:proofErr w:type="spellEnd"/>
      <w:r>
        <w:rPr>
          <w:sz w:val="20"/>
          <w:szCs w:val="20"/>
        </w:rPr>
        <w:t xml:space="preserve">, </w:t>
      </w:r>
      <w:proofErr w:type="spellStart"/>
      <w:r>
        <w:rPr>
          <w:sz w:val="20"/>
          <w:szCs w:val="20"/>
        </w:rPr>
        <w:t>Rendeux</w:t>
      </w:r>
      <w:proofErr w:type="spellEnd"/>
      <w:r>
        <w:rPr>
          <w:sz w:val="20"/>
          <w:szCs w:val="20"/>
        </w:rPr>
        <w:t xml:space="preserve">, Rouvroy, Saint-Léger, </w:t>
      </w:r>
      <w:proofErr w:type="spellStart"/>
      <w:r>
        <w:rPr>
          <w:sz w:val="20"/>
          <w:szCs w:val="20"/>
        </w:rPr>
        <w:t>Tellin</w:t>
      </w:r>
      <w:proofErr w:type="spellEnd"/>
      <w:r>
        <w:rPr>
          <w:sz w:val="20"/>
          <w:szCs w:val="20"/>
        </w:rPr>
        <w:t xml:space="preserve">, </w:t>
      </w:r>
      <w:proofErr w:type="spellStart"/>
      <w:r>
        <w:rPr>
          <w:sz w:val="20"/>
          <w:szCs w:val="20"/>
        </w:rPr>
        <w:t>Tenneville</w:t>
      </w:r>
      <w:proofErr w:type="spellEnd"/>
      <w:r>
        <w:rPr>
          <w:sz w:val="20"/>
          <w:szCs w:val="20"/>
        </w:rPr>
        <w:t xml:space="preserve">, </w:t>
      </w:r>
      <w:proofErr w:type="spellStart"/>
      <w:r>
        <w:rPr>
          <w:sz w:val="20"/>
          <w:szCs w:val="20"/>
        </w:rPr>
        <w:t>Tintigny</w:t>
      </w:r>
      <w:proofErr w:type="spellEnd"/>
      <w:r>
        <w:rPr>
          <w:sz w:val="20"/>
          <w:szCs w:val="20"/>
        </w:rPr>
        <w:t xml:space="preserve">, Saint-Hubert, Sainte-Ode, Vaux-sur-Sûre, Vielsalm, Virton, </w:t>
      </w:r>
      <w:proofErr w:type="spellStart"/>
      <w:r>
        <w:rPr>
          <w:sz w:val="20"/>
          <w:szCs w:val="20"/>
        </w:rPr>
        <w:t>Wellin</w:t>
      </w:r>
      <w:proofErr w:type="spellEnd"/>
      <w:r>
        <w:rPr>
          <w:sz w:val="20"/>
          <w:szCs w:val="20"/>
        </w:rPr>
        <w:t>.</w:t>
      </w:r>
    </w:p>
    <w:tbl>
      <w:tblPr>
        <w:tblStyle w:val="Grilledutableau"/>
        <w:tblW w:w="0" w:type="auto"/>
        <w:tblLook w:val="04A0" w:firstRow="1" w:lastRow="0" w:firstColumn="1" w:lastColumn="0" w:noHBand="0" w:noVBand="1"/>
      </w:tblPr>
      <w:tblGrid>
        <w:gridCol w:w="6996"/>
        <w:gridCol w:w="6996"/>
      </w:tblGrid>
      <w:tr>
        <w:tc>
          <w:tcPr>
            <w:tcW w:w="6996" w:type="dxa"/>
          </w:tcPr>
          <w:p>
            <w:pPr>
              <w:pStyle w:val="Corpsdetexte"/>
              <w:jc w:val="left"/>
              <w:rPr>
                <w:sz w:val="20"/>
                <w:szCs w:val="20"/>
              </w:rPr>
            </w:pPr>
            <w:r>
              <w:rPr>
                <w:b/>
                <w:sz w:val="20"/>
                <w:szCs w:val="20"/>
              </w:rPr>
              <w:t>Zone 08</w:t>
            </w:r>
            <w:r>
              <w:rPr>
                <w:sz w:val="20"/>
                <w:szCs w:val="20"/>
              </w:rPr>
              <w:t xml:space="preserve">  </w:t>
            </w:r>
            <w:r>
              <w:rPr>
                <w:b/>
                <w:sz w:val="20"/>
                <w:szCs w:val="20"/>
              </w:rPr>
              <w:t>/ Bassin EFE de Wallonie picarde</w:t>
            </w:r>
          </w:p>
        </w:tc>
        <w:tc>
          <w:tcPr>
            <w:tcW w:w="6996" w:type="dxa"/>
          </w:tcPr>
          <w:p>
            <w:pPr>
              <w:pStyle w:val="Corpsdetexte"/>
              <w:jc w:val="center"/>
              <w:rPr>
                <w:b/>
                <w:sz w:val="20"/>
                <w:szCs w:val="20"/>
              </w:rPr>
            </w:pPr>
            <w:r>
              <w:rPr>
                <w:b/>
                <w:sz w:val="20"/>
                <w:szCs w:val="20"/>
              </w:rPr>
              <w:t>e-mail : cza.zone08@gmail.com</w:t>
            </w:r>
          </w:p>
        </w:tc>
      </w:tr>
    </w:tbl>
    <w:p>
      <w:pPr>
        <w:pStyle w:val="Corpsdetexte"/>
        <w:rPr>
          <w:sz w:val="20"/>
          <w:szCs w:val="20"/>
        </w:rPr>
      </w:pPr>
      <w:r>
        <w:rPr>
          <w:sz w:val="20"/>
          <w:szCs w:val="20"/>
        </w:rPr>
        <w:t xml:space="preserve">Antoing, Ath, Beloeil, Bernissart, </w:t>
      </w:r>
      <w:proofErr w:type="spellStart"/>
      <w:r>
        <w:rPr>
          <w:sz w:val="20"/>
          <w:szCs w:val="20"/>
        </w:rPr>
        <w:t>Brugelette</w:t>
      </w:r>
      <w:proofErr w:type="spellEnd"/>
      <w:r>
        <w:rPr>
          <w:sz w:val="20"/>
          <w:szCs w:val="20"/>
        </w:rPr>
        <w:t xml:space="preserve">, Brunehaut, Celles, Chièvres, Comines-Warneton, Ellezelles, Enghien, </w:t>
      </w:r>
      <w:proofErr w:type="spellStart"/>
      <w:r>
        <w:rPr>
          <w:sz w:val="20"/>
          <w:szCs w:val="20"/>
        </w:rPr>
        <w:t>Estaimpuis</w:t>
      </w:r>
      <w:proofErr w:type="spellEnd"/>
      <w:r>
        <w:rPr>
          <w:sz w:val="20"/>
          <w:szCs w:val="20"/>
        </w:rPr>
        <w:t xml:space="preserve">, </w:t>
      </w:r>
      <w:proofErr w:type="spellStart"/>
      <w:r>
        <w:rPr>
          <w:sz w:val="20"/>
          <w:szCs w:val="20"/>
        </w:rPr>
        <w:t>Flobecq</w:t>
      </w:r>
      <w:proofErr w:type="spellEnd"/>
      <w:r>
        <w:rPr>
          <w:sz w:val="20"/>
          <w:szCs w:val="20"/>
        </w:rPr>
        <w:t xml:space="preserve">, </w:t>
      </w:r>
      <w:proofErr w:type="spellStart"/>
      <w:r>
        <w:rPr>
          <w:sz w:val="20"/>
          <w:szCs w:val="20"/>
        </w:rPr>
        <w:t>Frasnes</w:t>
      </w:r>
      <w:proofErr w:type="spellEnd"/>
      <w:r>
        <w:rPr>
          <w:sz w:val="20"/>
          <w:szCs w:val="20"/>
        </w:rPr>
        <w:t>-lez-</w:t>
      </w:r>
      <w:proofErr w:type="spellStart"/>
      <w:r>
        <w:rPr>
          <w:sz w:val="20"/>
          <w:szCs w:val="20"/>
        </w:rPr>
        <w:t>Anvaing</w:t>
      </w:r>
      <w:proofErr w:type="spellEnd"/>
      <w:r>
        <w:rPr>
          <w:sz w:val="20"/>
          <w:szCs w:val="20"/>
        </w:rPr>
        <w:t>, Lessines, Leuze-en-Hainaut, Mont-de-</w:t>
      </w:r>
      <w:proofErr w:type="spellStart"/>
      <w:r>
        <w:rPr>
          <w:sz w:val="20"/>
          <w:szCs w:val="20"/>
        </w:rPr>
        <w:t>l'Enclus</w:t>
      </w:r>
      <w:proofErr w:type="spellEnd"/>
      <w:r>
        <w:rPr>
          <w:sz w:val="20"/>
          <w:szCs w:val="20"/>
        </w:rPr>
        <w:t>, Mouscron, Pecq, Peruwelz, Rumes, Silly, Tournai.</w:t>
      </w:r>
    </w:p>
    <w:tbl>
      <w:tblPr>
        <w:tblStyle w:val="Grilledutableau"/>
        <w:tblW w:w="0" w:type="auto"/>
        <w:tblLook w:val="04A0" w:firstRow="1" w:lastRow="0" w:firstColumn="1" w:lastColumn="0" w:noHBand="0" w:noVBand="1"/>
      </w:tblPr>
      <w:tblGrid>
        <w:gridCol w:w="6996"/>
        <w:gridCol w:w="6996"/>
      </w:tblGrid>
      <w:tr>
        <w:tc>
          <w:tcPr>
            <w:tcW w:w="6996" w:type="dxa"/>
          </w:tcPr>
          <w:p>
            <w:pPr>
              <w:pStyle w:val="Corpsdetexte"/>
              <w:jc w:val="left"/>
              <w:rPr>
                <w:sz w:val="20"/>
                <w:szCs w:val="20"/>
              </w:rPr>
            </w:pPr>
            <w:r>
              <w:rPr>
                <w:b/>
                <w:sz w:val="20"/>
                <w:szCs w:val="20"/>
              </w:rPr>
              <w:t>Zone 09</w:t>
            </w:r>
            <w:r>
              <w:rPr>
                <w:sz w:val="20"/>
                <w:szCs w:val="20"/>
              </w:rPr>
              <w:t xml:space="preserve">  </w:t>
            </w:r>
            <w:r>
              <w:rPr>
                <w:b/>
                <w:sz w:val="20"/>
                <w:szCs w:val="20"/>
              </w:rPr>
              <w:t>/ Bassin EFE de Hainaut Centre</w:t>
            </w:r>
          </w:p>
        </w:tc>
        <w:tc>
          <w:tcPr>
            <w:tcW w:w="6996" w:type="dxa"/>
          </w:tcPr>
          <w:p>
            <w:pPr>
              <w:pStyle w:val="Corpsdetexte"/>
              <w:jc w:val="center"/>
              <w:rPr>
                <w:b/>
                <w:sz w:val="20"/>
                <w:szCs w:val="20"/>
              </w:rPr>
            </w:pPr>
            <w:r>
              <w:rPr>
                <w:b/>
                <w:sz w:val="20"/>
                <w:szCs w:val="20"/>
              </w:rPr>
              <w:t>e-mail : cza.zone09@gmail.com</w:t>
            </w:r>
          </w:p>
        </w:tc>
      </w:tr>
    </w:tbl>
    <w:p>
      <w:pPr>
        <w:pStyle w:val="Corpsdetexte"/>
        <w:rPr>
          <w:sz w:val="20"/>
          <w:szCs w:val="20"/>
        </w:rPr>
      </w:pPr>
      <w:r>
        <w:rPr>
          <w:sz w:val="20"/>
          <w:szCs w:val="20"/>
        </w:rPr>
        <w:t xml:space="preserve">Binche, Boussu, Braine-le-Comte, Chapelle-lez-Herlaimont, Colfontaine, Dour, </w:t>
      </w:r>
      <w:proofErr w:type="spellStart"/>
      <w:r>
        <w:rPr>
          <w:sz w:val="20"/>
          <w:szCs w:val="20"/>
        </w:rPr>
        <w:t>Ecaussines</w:t>
      </w:r>
      <w:proofErr w:type="spellEnd"/>
      <w:r>
        <w:rPr>
          <w:sz w:val="20"/>
          <w:szCs w:val="20"/>
        </w:rPr>
        <w:t xml:space="preserve">, </w:t>
      </w:r>
      <w:proofErr w:type="spellStart"/>
      <w:r>
        <w:rPr>
          <w:sz w:val="20"/>
          <w:szCs w:val="20"/>
        </w:rPr>
        <w:t>Estinnes</w:t>
      </w:r>
      <w:proofErr w:type="spellEnd"/>
      <w:r>
        <w:rPr>
          <w:sz w:val="20"/>
          <w:szCs w:val="20"/>
        </w:rPr>
        <w:t xml:space="preserve">, Frameries, Hensies, </w:t>
      </w:r>
      <w:proofErr w:type="spellStart"/>
      <w:r>
        <w:rPr>
          <w:sz w:val="20"/>
          <w:szCs w:val="20"/>
        </w:rPr>
        <w:t>Honnelles</w:t>
      </w:r>
      <w:proofErr w:type="spellEnd"/>
      <w:r>
        <w:rPr>
          <w:sz w:val="20"/>
          <w:szCs w:val="20"/>
        </w:rPr>
        <w:t xml:space="preserve">, Jurbise, </w:t>
      </w:r>
      <w:smartTag w:uri="urn:schemas-microsoft-com:office:smarttags" w:element="PersonName">
        <w:smartTagPr>
          <w:attr w:name="ProductID" w:val="La Louvi￨re"/>
        </w:smartTagPr>
        <w:r>
          <w:rPr>
            <w:sz w:val="20"/>
            <w:szCs w:val="20"/>
          </w:rPr>
          <w:t>La Louvière</w:t>
        </w:r>
      </w:smartTag>
      <w:r>
        <w:rPr>
          <w:sz w:val="20"/>
          <w:szCs w:val="20"/>
        </w:rPr>
        <w:t xml:space="preserve">, Lens, Le Roeulx, Manage, Mons, Morlanwelz, Quaregnon, </w:t>
      </w:r>
      <w:proofErr w:type="spellStart"/>
      <w:r>
        <w:rPr>
          <w:sz w:val="20"/>
          <w:szCs w:val="20"/>
        </w:rPr>
        <w:t>Quévy</w:t>
      </w:r>
      <w:proofErr w:type="spellEnd"/>
      <w:r>
        <w:rPr>
          <w:sz w:val="20"/>
          <w:szCs w:val="20"/>
        </w:rPr>
        <w:t>, Quiévrain, Saint-Ghislain, Seneffe, Soignies.</w:t>
      </w:r>
    </w:p>
    <w:tbl>
      <w:tblPr>
        <w:tblStyle w:val="Grilledutableau"/>
        <w:tblW w:w="0" w:type="auto"/>
        <w:tblLook w:val="04A0" w:firstRow="1" w:lastRow="0" w:firstColumn="1" w:lastColumn="0" w:noHBand="0" w:noVBand="1"/>
      </w:tblPr>
      <w:tblGrid>
        <w:gridCol w:w="6996"/>
        <w:gridCol w:w="6996"/>
      </w:tblGrid>
      <w:tr>
        <w:tc>
          <w:tcPr>
            <w:tcW w:w="6996" w:type="dxa"/>
          </w:tcPr>
          <w:p>
            <w:pPr>
              <w:pStyle w:val="Corpsdetexte"/>
              <w:jc w:val="left"/>
              <w:rPr>
                <w:sz w:val="20"/>
                <w:szCs w:val="20"/>
              </w:rPr>
            </w:pPr>
            <w:r>
              <w:rPr>
                <w:b/>
                <w:sz w:val="20"/>
                <w:szCs w:val="20"/>
              </w:rPr>
              <w:t>Zone 10</w:t>
            </w:r>
            <w:r>
              <w:rPr>
                <w:sz w:val="20"/>
                <w:szCs w:val="20"/>
              </w:rPr>
              <w:t xml:space="preserve">  </w:t>
            </w:r>
            <w:r>
              <w:rPr>
                <w:b/>
                <w:sz w:val="20"/>
                <w:szCs w:val="20"/>
              </w:rPr>
              <w:t>/ Bassin EFE de Hainaut Sud</w:t>
            </w:r>
          </w:p>
        </w:tc>
        <w:tc>
          <w:tcPr>
            <w:tcW w:w="6996" w:type="dxa"/>
          </w:tcPr>
          <w:p>
            <w:pPr>
              <w:pStyle w:val="Corpsdetexte"/>
              <w:jc w:val="center"/>
              <w:rPr>
                <w:b/>
                <w:sz w:val="20"/>
                <w:szCs w:val="20"/>
              </w:rPr>
            </w:pPr>
            <w:r>
              <w:rPr>
                <w:b/>
                <w:sz w:val="20"/>
                <w:szCs w:val="20"/>
              </w:rPr>
              <w:t>e-mail : cza.zone10@gmail.com</w:t>
            </w:r>
          </w:p>
        </w:tc>
      </w:tr>
    </w:tbl>
    <w:p>
      <w:pPr>
        <w:pStyle w:val="Corpsdetexte"/>
        <w:rPr>
          <w:sz w:val="20"/>
          <w:szCs w:val="20"/>
        </w:rPr>
      </w:pPr>
      <w:r>
        <w:rPr>
          <w:sz w:val="20"/>
          <w:szCs w:val="20"/>
        </w:rPr>
        <w:t xml:space="preserve">Aiseau-Presles, Anderlues, Beaumont, </w:t>
      </w:r>
      <w:proofErr w:type="spellStart"/>
      <w:r>
        <w:rPr>
          <w:sz w:val="20"/>
          <w:szCs w:val="20"/>
        </w:rPr>
        <w:t>Cerfontaine</w:t>
      </w:r>
      <w:proofErr w:type="spellEnd"/>
      <w:r>
        <w:rPr>
          <w:sz w:val="20"/>
          <w:szCs w:val="20"/>
        </w:rPr>
        <w:t xml:space="preserve">, Charleroi, Châtelet, Chimay, Courcelles, Couvin, Erquelinnes, Farciennes, Fleurus, Fontaine-l'Evêque, </w:t>
      </w:r>
      <w:proofErr w:type="spellStart"/>
      <w:r>
        <w:rPr>
          <w:sz w:val="20"/>
          <w:szCs w:val="20"/>
        </w:rPr>
        <w:t>Froidchapelle</w:t>
      </w:r>
      <w:proofErr w:type="spellEnd"/>
      <w:r>
        <w:rPr>
          <w:sz w:val="20"/>
          <w:szCs w:val="20"/>
        </w:rPr>
        <w:t xml:space="preserve">, Gerpinnes, Ham-sur-Heure, Les-Bons-Villers, Lobbes, </w:t>
      </w:r>
      <w:proofErr w:type="spellStart"/>
      <w:r>
        <w:rPr>
          <w:sz w:val="20"/>
          <w:szCs w:val="20"/>
        </w:rPr>
        <w:t>Merbes</w:t>
      </w:r>
      <w:proofErr w:type="spellEnd"/>
      <w:r>
        <w:rPr>
          <w:sz w:val="20"/>
          <w:szCs w:val="20"/>
        </w:rPr>
        <w:t xml:space="preserve">-Le-Château, Momignies, Montigny-le-Tilleul, Philippeville, Pont-à-Celles, </w:t>
      </w:r>
      <w:proofErr w:type="spellStart"/>
      <w:r>
        <w:rPr>
          <w:sz w:val="20"/>
          <w:szCs w:val="20"/>
        </w:rPr>
        <w:t>Sivry</w:t>
      </w:r>
      <w:proofErr w:type="spellEnd"/>
      <w:r>
        <w:rPr>
          <w:sz w:val="20"/>
          <w:szCs w:val="20"/>
        </w:rPr>
        <w:t xml:space="preserve">-Rance, Thuin, </w:t>
      </w:r>
      <w:proofErr w:type="spellStart"/>
      <w:r>
        <w:rPr>
          <w:sz w:val="20"/>
          <w:szCs w:val="20"/>
        </w:rPr>
        <w:t>Viroinval</w:t>
      </w:r>
      <w:proofErr w:type="spellEnd"/>
      <w:r>
        <w:rPr>
          <w:sz w:val="20"/>
          <w:szCs w:val="20"/>
        </w:rPr>
        <w:t>, Walcourt.</w:t>
      </w:r>
    </w:p>
    <w:p>
      <w:pPr>
        <w:pStyle w:val="Corpsdetexte"/>
      </w:pPr>
    </w:p>
    <w:sectPr>
      <w:headerReference w:type="even" r:id="rId48"/>
      <w:headerReference w:type="default" r:id="rId49"/>
      <w:footerReference w:type="even" r:id="rId50"/>
      <w:footerReference w:type="default" r:id="rId51"/>
      <w:headerReference w:type="first" r:id="rId52"/>
      <w:footerReference w:type="first" r:id="rId53"/>
      <w:pgSz w:w="16838" w:h="11906" w:orient="landscape" w:code="9"/>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OpenSymbol">
    <w:altName w:val="Arial Unicode MS"/>
    <w:panose1 w:val="05010000000000000000"/>
    <w:charset w:val="00"/>
    <w:family w:val="auto"/>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Lohit Hindi">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CenturySchoolbook">
    <w:altName w:val="Cambria"/>
    <w:panose1 w:val="00000000000000000000"/>
    <w:charset w:val="00"/>
    <w:family w:val="roman"/>
    <w:notTrueType/>
    <w:pitch w:val="default"/>
    <w:sig w:usb0="00000003" w:usb1="00000000" w:usb2="00000000" w:usb3="00000000" w:csb0="00000001" w:csb1="00000000"/>
  </w:font>
  <w:font w:name="CenturySchoolbook-Bold">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enturySchoolbook,Italic">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IV: Fonctionnement</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64</w:t>
    </w:r>
    <w:r>
      <w:rPr>
        <w:rStyle w:val="Numrodepage"/>
        <w:rFonts w:cs="Arial Narrow"/>
        <w:sz w:val="18"/>
        <w:szCs w:val="18"/>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V: Dispositions relatives à l’organisation de certains cours</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66</w:t>
    </w:r>
    <w:r>
      <w:rPr>
        <w:rStyle w:val="Numrodepage"/>
        <w:rFonts w:cs="Arial Narrow"/>
        <w:sz w:val="18"/>
        <w:szCs w:val="18"/>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VI: Programmation, organisation, normes de créations, répertoire des options de base</w:t>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91</w:t>
    </w:r>
    <w:r>
      <w:rPr>
        <w:rStyle w:val="Numrodepage"/>
        <w:rFonts w:cs="Arial Narrow"/>
        <w:sz w:val="18"/>
        <w:szCs w:val="18"/>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VII: Normes de maintien</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96</w:t>
    </w:r>
    <w:r>
      <w:rPr>
        <w:rStyle w:val="Numrodepage"/>
        <w:rFonts w:cs="Arial Narrow"/>
        <w:sz w:val="18"/>
        <w:szCs w:val="18"/>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auto"/>
      </w:pBdr>
      <w:rPr>
        <w:rFonts w:ascii="Arial Narrow" w:hAnsi="Arial Narrow"/>
        <w:sz w:val="18"/>
        <w:szCs w:val="18"/>
      </w:rPr>
    </w:pPr>
    <w:r>
      <w:rPr>
        <w:rFonts w:ascii="Arial Narrow" w:hAnsi="Arial Narrow"/>
        <w:sz w:val="18"/>
        <w:szCs w:val="18"/>
      </w:rPr>
      <w:t>Chapitre VIII: Encadrement</w:t>
    </w:r>
    <w:r>
      <w:rPr>
        <w:rFonts w:ascii="Arial Narrow" w:hAnsi="Arial Narrow"/>
        <w:sz w:val="18"/>
        <w:szCs w:val="18"/>
      </w:rPr>
      <w:tab/>
    </w:r>
    <w:r>
      <w:rPr>
        <w:rFonts w:ascii="Arial Narrow" w:hAnsi="Arial Narrow"/>
        <w:sz w:val="18"/>
        <w:szCs w:val="18"/>
      </w:rPr>
      <w:tab/>
      <w:t xml:space="preserve">Page </w:t>
    </w:r>
    <w:r>
      <w:rPr>
        <w:rStyle w:val="Numrodepage"/>
        <w:rFonts w:ascii="Arial Narrow" w:hAnsi="Arial Narrow" w:cs="Courier New"/>
        <w:sz w:val="18"/>
        <w:szCs w:val="18"/>
      </w:rPr>
      <w:fldChar w:fldCharType="begin"/>
    </w:r>
    <w:r>
      <w:rPr>
        <w:rStyle w:val="Numrodepage"/>
        <w:rFonts w:ascii="Arial Narrow" w:hAnsi="Arial Narrow" w:cs="Courier New"/>
        <w:sz w:val="18"/>
        <w:szCs w:val="18"/>
      </w:rPr>
      <w:instrText xml:space="preserve"> PAGE </w:instrText>
    </w:r>
    <w:r>
      <w:rPr>
        <w:rStyle w:val="Numrodepage"/>
        <w:rFonts w:ascii="Arial Narrow" w:hAnsi="Arial Narrow" w:cs="Courier New"/>
        <w:sz w:val="18"/>
        <w:szCs w:val="18"/>
      </w:rPr>
      <w:fldChar w:fldCharType="separate"/>
    </w:r>
    <w:r>
      <w:rPr>
        <w:rStyle w:val="Numrodepage"/>
        <w:rFonts w:ascii="Arial Narrow" w:hAnsi="Arial Narrow" w:cs="Courier New"/>
        <w:noProof/>
        <w:sz w:val="18"/>
        <w:szCs w:val="18"/>
      </w:rPr>
      <w:t>104</w:t>
    </w:r>
    <w:r>
      <w:rPr>
        <w:rStyle w:val="Numrodepage"/>
        <w:rFonts w:ascii="Arial Narrow" w:hAnsi="Arial Narrow" w:cs="Courier New"/>
        <w:sz w:val="18"/>
        <w:szCs w:val="18"/>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Fonts w:cs="Courier New"/>
      </w:rPr>
    </w:pPr>
    <w:r>
      <w:rPr>
        <w:rStyle w:val="Numrodepage"/>
        <w:rFonts w:cs="Courier New"/>
      </w:rPr>
      <w:fldChar w:fldCharType="begin"/>
    </w:r>
    <w:r>
      <w:rPr>
        <w:rStyle w:val="Numrodepage"/>
        <w:rFonts w:cs="Courier New"/>
      </w:rPr>
      <w:instrText xml:space="preserve">PAGE  </w:instrText>
    </w:r>
    <w:r>
      <w:rPr>
        <w:rStyle w:val="Numrodepage"/>
        <w:rFonts w:cs="Courier New"/>
      </w:rPr>
      <w:fldChar w:fldCharType="separate"/>
    </w:r>
    <w:r>
      <w:rPr>
        <w:rStyle w:val="Numrodepage"/>
        <w:rFonts w:cs="Courier New"/>
        <w:noProof/>
      </w:rPr>
      <w:t>56</w:t>
    </w:r>
    <w:r>
      <w:rPr>
        <w:rStyle w:val="Numrodepage"/>
        <w:rFonts w:cs="Courier New"/>
      </w:rPr>
      <w:fldChar w:fldCharType="end"/>
    </w:r>
  </w:p>
  <w:p>
    <w:pPr>
      <w:pStyle w:val="Pieddepage"/>
      <w:ind w:right="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auto"/>
      </w:pBdr>
      <w:spacing w:after="120"/>
      <w:rPr>
        <w:rFonts w:ascii="Arial Narrow" w:hAnsi="Arial Narrow"/>
        <w:sz w:val="18"/>
        <w:szCs w:val="18"/>
      </w:rPr>
    </w:pPr>
    <w:r>
      <w:rPr>
        <w:rFonts w:ascii="Arial Narrow" w:hAnsi="Arial Narrow"/>
        <w:sz w:val="18"/>
        <w:szCs w:val="18"/>
      </w:rPr>
      <w:t>Enseignement secondaire en alternance</w:t>
    </w:r>
    <w:r>
      <w:rPr>
        <w:rFonts w:ascii="Arial Narrow" w:hAnsi="Arial Narrow"/>
        <w:sz w:val="18"/>
        <w:szCs w:val="18"/>
      </w:rPr>
      <w:tab/>
    </w:r>
    <w:r>
      <w:rPr>
        <w:rFonts w:ascii="Arial Narrow" w:hAnsi="Arial Narrow"/>
        <w:sz w:val="18"/>
        <w:szCs w:val="18"/>
      </w:rPr>
      <w:tab/>
      <w:t>Directives pour l’année scolaire 2018-2019</w:t>
    </w:r>
    <w:r>
      <w:rPr>
        <w:rFonts w:ascii="Arial Narrow" w:hAnsi="Arial Narrow"/>
        <w:sz w:val="18"/>
        <w:szCs w:val="18"/>
      </w:rPr>
      <w:tab/>
      <w:t xml:space="preserve">Annexe I -Page </w:t>
    </w:r>
    <w:r>
      <w:rPr>
        <w:rStyle w:val="Numrodepage"/>
        <w:rFonts w:ascii="Arial Narrow" w:hAnsi="Arial Narrow" w:cs="Courier New"/>
        <w:sz w:val="18"/>
        <w:szCs w:val="18"/>
      </w:rPr>
      <w:fldChar w:fldCharType="begin"/>
    </w:r>
    <w:r>
      <w:rPr>
        <w:rStyle w:val="Numrodepage"/>
        <w:rFonts w:ascii="Arial Narrow" w:hAnsi="Arial Narrow" w:cs="Courier New"/>
        <w:sz w:val="18"/>
        <w:szCs w:val="18"/>
      </w:rPr>
      <w:instrText xml:space="preserve"> PAGE </w:instrText>
    </w:r>
    <w:r>
      <w:rPr>
        <w:rStyle w:val="Numrodepage"/>
        <w:rFonts w:ascii="Arial Narrow" w:hAnsi="Arial Narrow" w:cs="Courier New"/>
        <w:sz w:val="18"/>
        <w:szCs w:val="18"/>
      </w:rPr>
      <w:fldChar w:fldCharType="separate"/>
    </w:r>
    <w:r>
      <w:rPr>
        <w:rStyle w:val="Numrodepage"/>
        <w:rFonts w:ascii="Arial Narrow" w:hAnsi="Arial Narrow" w:cs="Courier New"/>
        <w:noProof/>
        <w:sz w:val="18"/>
        <w:szCs w:val="18"/>
      </w:rPr>
      <w:t>111</w:t>
    </w:r>
    <w:r>
      <w:rPr>
        <w:rStyle w:val="Numrodepage"/>
        <w:rFonts w:ascii="Arial Narrow" w:hAnsi="Arial Narrow" w:cs="Courier New"/>
        <w:sz w:val="18"/>
        <w:szCs w:val="18"/>
      </w:rPr>
      <w:fldChar w:fldCharType="end"/>
    </w:r>
  </w:p>
  <w:p>
    <w:pPr>
      <w:pStyle w:val="Pieddepage"/>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auto"/>
      </w:pBdr>
      <w:spacing w:after="120"/>
      <w:rPr>
        <w:rFonts w:ascii="Arial Narrow" w:hAnsi="Arial Narrow"/>
        <w:sz w:val="18"/>
        <w:szCs w:val="18"/>
      </w:rPr>
    </w:pPr>
    <w:r>
      <w:rPr>
        <w:rFonts w:ascii="Arial Narrow" w:hAnsi="Arial Narrow"/>
        <w:sz w:val="18"/>
        <w:szCs w:val="18"/>
      </w:rPr>
      <w:t>Enseignement secondaire en alternance</w:t>
    </w:r>
    <w:r>
      <w:rPr>
        <w:rFonts w:ascii="Arial Narrow" w:hAnsi="Arial Narrow"/>
        <w:sz w:val="18"/>
        <w:szCs w:val="18"/>
      </w:rPr>
      <w:tab/>
    </w:r>
    <w:r>
      <w:rPr>
        <w:rFonts w:ascii="Arial Narrow" w:hAnsi="Arial Narrow"/>
        <w:sz w:val="18"/>
        <w:szCs w:val="18"/>
      </w:rPr>
      <w:tab/>
      <w:t>Directives pour l’année scolaire 2018-2019</w:t>
    </w:r>
    <w:r>
      <w:rPr>
        <w:rFonts w:ascii="Arial Narrow" w:hAnsi="Arial Narrow"/>
        <w:sz w:val="18"/>
        <w:szCs w:val="18"/>
      </w:rPr>
      <w:tab/>
      <w:t xml:space="preserve">Annexe I -Page </w:t>
    </w:r>
    <w:r>
      <w:rPr>
        <w:rStyle w:val="Numrodepage"/>
        <w:rFonts w:ascii="Arial Narrow" w:hAnsi="Arial Narrow" w:cs="Courier New"/>
        <w:sz w:val="18"/>
        <w:szCs w:val="18"/>
      </w:rPr>
      <w:fldChar w:fldCharType="begin"/>
    </w:r>
    <w:r>
      <w:rPr>
        <w:rStyle w:val="Numrodepage"/>
        <w:rFonts w:ascii="Arial Narrow" w:hAnsi="Arial Narrow" w:cs="Courier New"/>
        <w:sz w:val="18"/>
        <w:szCs w:val="18"/>
      </w:rPr>
      <w:instrText xml:space="preserve"> PAGE </w:instrText>
    </w:r>
    <w:r>
      <w:rPr>
        <w:rStyle w:val="Numrodepage"/>
        <w:rFonts w:ascii="Arial Narrow" w:hAnsi="Arial Narrow" w:cs="Courier New"/>
        <w:sz w:val="18"/>
        <w:szCs w:val="18"/>
      </w:rPr>
      <w:fldChar w:fldCharType="separate"/>
    </w:r>
    <w:r>
      <w:rPr>
        <w:rStyle w:val="Numrodepage"/>
        <w:rFonts w:ascii="Arial Narrow" w:hAnsi="Arial Narrow" w:cs="Courier New"/>
        <w:noProof/>
        <w:sz w:val="18"/>
        <w:szCs w:val="18"/>
      </w:rPr>
      <w:t>107</w:t>
    </w:r>
    <w:r>
      <w:rPr>
        <w:rStyle w:val="Numrodepage"/>
        <w:rFonts w:ascii="Arial Narrow" w:hAnsi="Arial Narrow" w:cs="Courier New"/>
        <w:sz w:val="18"/>
        <w:szCs w:val="18"/>
      </w:rPr>
      <w:fldChar w:fldCharType="end"/>
    </w:r>
  </w:p>
  <w:p>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000000"/>
      </w:pBdr>
      <w:spacing w:after="120"/>
      <w:rPr>
        <w:rFonts w:ascii="Arial Narrow" w:hAnsi="Arial Narrow" w:cs="Arial Narrow"/>
        <w:sz w:val="18"/>
        <w:szCs w:val="18"/>
      </w:rPr>
    </w:pPr>
    <w:r>
      <w:rPr>
        <w:rFonts w:ascii="Arial Narrow" w:hAnsi="Arial Narrow" w:cs="Arial Narrow"/>
        <w:sz w:val="18"/>
        <w:szCs w:val="18"/>
      </w:rPr>
      <w:t>Enseignement secondaire en alternance</w:t>
    </w:r>
    <w:r>
      <w:rPr>
        <w:rFonts w:ascii="Arial Narrow" w:hAnsi="Arial Narrow" w:cs="Arial Narrow"/>
        <w:sz w:val="18"/>
        <w:szCs w:val="18"/>
      </w:rPr>
      <w:tab/>
      <w:t>Directives pour l’année scolaire 2018-2019</w:t>
    </w:r>
    <w:r>
      <w:rPr>
        <w:rFonts w:ascii="Arial Narrow" w:hAnsi="Arial Narrow" w:cs="Arial Narrow"/>
        <w:sz w:val="18"/>
        <w:szCs w:val="18"/>
      </w:rPr>
      <w:tab/>
      <w:t xml:space="preserve">Annexe IV- Page </w:t>
    </w:r>
    <w:r>
      <w:rPr>
        <w:rStyle w:val="Numrodepage"/>
        <w:rFonts w:cs="Courier New"/>
        <w:sz w:val="18"/>
        <w:szCs w:val="18"/>
      </w:rPr>
      <w:fldChar w:fldCharType="begin"/>
    </w:r>
    <w:r>
      <w:rPr>
        <w:rStyle w:val="Numrodepage"/>
        <w:rFonts w:cs="Courier New"/>
        <w:sz w:val="18"/>
        <w:szCs w:val="18"/>
      </w:rPr>
      <w:instrText xml:space="preserve"> PAGE </w:instrText>
    </w:r>
    <w:r>
      <w:rPr>
        <w:rStyle w:val="Numrodepage"/>
        <w:rFonts w:cs="Courier New"/>
        <w:sz w:val="18"/>
        <w:szCs w:val="18"/>
      </w:rPr>
      <w:fldChar w:fldCharType="separate"/>
    </w:r>
    <w:r>
      <w:rPr>
        <w:rStyle w:val="Numrodepage"/>
        <w:rFonts w:cs="Courier New"/>
        <w:noProof/>
        <w:sz w:val="18"/>
        <w:szCs w:val="18"/>
      </w:rPr>
      <w:t>114</w:t>
    </w:r>
    <w:r>
      <w:rPr>
        <w:rStyle w:val="Numrodepage"/>
        <w:rFonts w:cs="Courier New"/>
        <w:sz w:val="18"/>
        <w:szCs w:val="18"/>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000000"/>
      </w:pBdr>
      <w:spacing w:after="120"/>
    </w:pPr>
    <w:r>
      <w:rPr>
        <w:rFonts w:ascii="Arial Narrow" w:hAnsi="Arial Narrow" w:cs="Arial Narrow"/>
        <w:sz w:val="18"/>
        <w:szCs w:val="18"/>
      </w:rPr>
      <w:t>Enseignement secondaire en alternance</w:t>
    </w:r>
    <w:r>
      <w:rPr>
        <w:rFonts w:ascii="Arial Narrow" w:hAnsi="Arial Narrow" w:cs="Arial Narrow"/>
        <w:sz w:val="18"/>
        <w:szCs w:val="18"/>
      </w:rPr>
      <w:tab/>
      <w:t>Directives pour l’année scolaire 2010-2011</w:t>
    </w:r>
    <w:r>
      <w:rPr>
        <w:rFonts w:ascii="Arial Narrow" w:hAnsi="Arial Narrow" w:cs="Arial Narrow"/>
        <w:sz w:val="18"/>
        <w:szCs w:val="18"/>
      </w:rPr>
      <w:tab/>
      <w:t xml:space="preserve">Annexe IV -Page </w:t>
    </w:r>
    <w:r>
      <w:rPr>
        <w:rStyle w:val="Numrodepage"/>
        <w:rFonts w:cs="Courier New"/>
        <w:sz w:val="18"/>
        <w:szCs w:val="18"/>
      </w:rPr>
      <w:fldChar w:fldCharType="begin"/>
    </w:r>
    <w:r>
      <w:rPr>
        <w:rStyle w:val="Numrodepage"/>
        <w:rFonts w:cs="Courier New"/>
        <w:sz w:val="18"/>
        <w:szCs w:val="18"/>
      </w:rPr>
      <w:instrText xml:space="preserve"> PAGE </w:instrText>
    </w:r>
    <w:r>
      <w:rPr>
        <w:rStyle w:val="Numrodepage"/>
        <w:rFonts w:cs="Courier New"/>
        <w:sz w:val="18"/>
        <w:szCs w:val="18"/>
      </w:rPr>
      <w:fldChar w:fldCharType="separate"/>
    </w:r>
    <w:r>
      <w:rPr>
        <w:rStyle w:val="Numrodepage"/>
        <w:rFonts w:cs="Courier New"/>
        <w:noProof/>
        <w:sz w:val="18"/>
        <w:szCs w:val="18"/>
      </w:rPr>
      <w:t>91</w:t>
    </w:r>
    <w:r>
      <w:rPr>
        <w:rStyle w:val="Numrodepage"/>
        <w:rFonts w:cs="Courier New"/>
        <w:sz w:val="18"/>
        <w:szCs w:val="18"/>
      </w:rPr>
      <w:fldChar w:fldCharType="end"/>
    </w:r>
  </w:p>
  <w:p>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I : Structure de l’enseignement secondaire en alternance</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20</w:t>
    </w:r>
    <w:r>
      <w:rPr>
        <w:rStyle w:val="Numrodepage"/>
        <w:rFonts w:cs="Arial Narrow"/>
        <w:sz w:val="18"/>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II: Conditions d’admission</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45</w:t>
    </w:r>
    <w:r>
      <w:rPr>
        <w:rStyle w:val="Numrodepage"/>
        <w:rFonts w:cs="Arial Narrow"/>
        <w:sz w:val="18"/>
        <w:szCs w:val="18"/>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III: Sanction des études</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60</w:t>
    </w:r>
    <w:r>
      <w:rPr>
        <w:rStyle w:val="Numrodepage"/>
        <w:rFonts w:cs="Arial Narrow"/>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organisant l’enseignement secondaire en alternance,</w:t>
      </w:r>
      <w:r>
        <w:rPr>
          <w:rFonts w:ascii="Book Antiqua" w:hAnsi="Book Antiqua" w:cs="Book Antiqua"/>
          <w:color w:val="000000"/>
          <w:sz w:val="18"/>
          <w:szCs w:val="18"/>
        </w:rPr>
        <w:t xml:space="preserve"> art. 2, al. 1</w:t>
      </w:r>
      <w:r>
        <w:rPr>
          <w:rFonts w:ascii="Book Antiqua" w:hAnsi="Book Antiqua" w:cs="Book Antiqua"/>
          <w:color w:val="000000"/>
          <w:sz w:val="18"/>
          <w:szCs w:val="18"/>
          <w:vertAlign w:val="superscript"/>
        </w:rPr>
        <w:t>er</w:t>
      </w:r>
      <w:r>
        <w:rPr>
          <w:rFonts w:ascii="Book Antiqua" w:hAnsi="Book Antiqua" w:cs="Book Antiqua"/>
          <w:color w:val="000000"/>
          <w:sz w:val="18"/>
          <w:szCs w:val="18"/>
        </w:rPr>
        <w:t>.</w:t>
      </w:r>
    </w:p>
  </w:footnote>
  <w:footnote w:id="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 al. 2. </w:t>
      </w:r>
    </w:p>
  </w:footnote>
  <w:footnote w:id="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2.</w:t>
      </w:r>
    </w:p>
  </w:footnote>
  <w:footnote w:id="6">
    <w:p>
      <w:pPr>
        <w:pStyle w:val="Notedebasdepage"/>
        <w:spacing w:after="60"/>
        <w:rPr>
          <w:lang w:val="en-US"/>
        </w:rPr>
      </w:pPr>
      <w:r>
        <w:rPr>
          <w:rStyle w:val="Caractresdenotedebasdepage"/>
          <w:rFonts w:ascii="Century Schoolbook" w:hAnsi="Century Schoolbook" w:cs="Courier New"/>
        </w:rPr>
        <w:footnoteRef/>
      </w:r>
      <w:r>
        <w:rPr>
          <w:rFonts w:ascii="Book Antiqua" w:hAnsi="Book Antiqua" w:cs="Book Antiqua"/>
          <w:sz w:val="18"/>
          <w:szCs w:val="18"/>
          <w:lang w:val="en-GB"/>
        </w:rPr>
        <w:tab/>
        <w:t xml:space="preserve"> </w:t>
      </w:r>
      <w:proofErr w:type="spellStart"/>
      <w:r>
        <w:rPr>
          <w:rFonts w:ascii="Book Antiqua" w:hAnsi="Book Antiqua" w:cs="Book Antiqua"/>
          <w:sz w:val="18"/>
          <w:szCs w:val="18"/>
          <w:lang w:val="en-GB"/>
        </w:rPr>
        <w:t>Ibidem</w:t>
      </w:r>
      <w:proofErr w:type="spellEnd"/>
      <w:r>
        <w:rPr>
          <w:rFonts w:ascii="Book Antiqua" w:hAnsi="Book Antiqua" w:cs="Book Antiqua"/>
          <w:sz w:val="18"/>
          <w:szCs w:val="18"/>
          <w:lang w:val="en-GB"/>
        </w:rPr>
        <w:t>, art. 4, al. 7.</w:t>
      </w:r>
    </w:p>
  </w:footnote>
  <w:footnote w:id="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art. 4, al. 3.</w:t>
      </w:r>
    </w:p>
  </w:footnote>
  <w:footnote w:id="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art. 5.</w:t>
      </w:r>
    </w:p>
  </w:footnote>
  <w:footnote w:id="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3.</w:t>
      </w:r>
    </w:p>
  </w:footnote>
  <w:footnote w:id="1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1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5. </w:t>
      </w:r>
    </w:p>
  </w:footnote>
  <w:footnote w:id="1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p>
  </w:footnote>
  <w:footnote w:id="13">
    <w:p>
      <w:pPr>
        <w:pStyle w:val="Notedebasdepage"/>
        <w:rPr>
          <w:lang w:val="fr-BE"/>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3.</w:t>
      </w:r>
      <w:r>
        <w:rPr>
          <w:lang w:val="de-DE"/>
        </w:rPr>
        <w:t xml:space="preserve"> </w:t>
      </w:r>
    </w:p>
  </w:footnote>
  <w:footnote w:id="14">
    <w:p>
      <w:pPr>
        <w:pStyle w:val="Notedebasdepage"/>
        <w:ind w:left="709" w:hanging="709"/>
        <w:rPr>
          <w:rFonts w:ascii="Book Antiqua" w:hAnsi="Book Antiqua" w:cs="Book Antiqua"/>
          <w:sz w:val="18"/>
          <w:szCs w:val="18"/>
          <w:lang w:val="de-DE"/>
        </w:rPr>
      </w:pPr>
      <w:r>
        <w:rPr>
          <w:rStyle w:val="Caractresdenotedebasdepage"/>
          <w:rFonts w:ascii="Book Antiqua" w:hAnsi="Book Antiqua" w:cs="Courier New"/>
        </w:rPr>
        <w:footnoteRef/>
      </w:r>
      <w:r>
        <w:rPr>
          <w:rStyle w:val="Caractresdenotedebasdepage"/>
          <w:rFonts w:cs="Courier New"/>
        </w:rPr>
        <w:t xml:space="preserve"> </w:t>
      </w:r>
      <w:r>
        <w:rPr>
          <w:rFonts w:ascii="Book Antiqua" w:hAnsi="Book Antiqua" w:cs="Book Antiqua"/>
          <w:sz w:val="18"/>
          <w:szCs w:val="18"/>
          <w:lang w:val="de-DE"/>
        </w:rPr>
        <w:tab/>
        <w:t xml:space="preserve">Ibidem, art. 4, al. 4 </w:t>
      </w:r>
      <w:proofErr w:type="spellStart"/>
      <w:r>
        <w:rPr>
          <w:rFonts w:ascii="Book Antiqua" w:hAnsi="Book Antiqua" w:cs="Book Antiqua"/>
          <w:sz w:val="18"/>
          <w:szCs w:val="18"/>
          <w:lang w:val="de-DE"/>
        </w:rPr>
        <w:t>tel</w:t>
      </w:r>
      <w:proofErr w:type="spellEnd"/>
      <w:r>
        <w:rPr>
          <w:rFonts w:ascii="Book Antiqua" w:hAnsi="Book Antiqua" w:cs="Book Antiqua"/>
          <w:sz w:val="18"/>
          <w:szCs w:val="18"/>
          <w:lang w:val="de-DE"/>
        </w:rPr>
        <w:t xml:space="preserve"> </w:t>
      </w:r>
      <w:proofErr w:type="spellStart"/>
      <w:r>
        <w:rPr>
          <w:rFonts w:ascii="Book Antiqua" w:hAnsi="Book Antiqua" w:cs="Book Antiqua"/>
          <w:sz w:val="18"/>
          <w:szCs w:val="18"/>
          <w:lang w:val="de-DE"/>
        </w:rPr>
        <w:t>qu’inséré</w:t>
      </w:r>
      <w:proofErr w:type="spellEnd"/>
      <w:r>
        <w:rPr>
          <w:rFonts w:ascii="Book Antiqua" w:hAnsi="Book Antiqua" w:cs="Book Antiqua"/>
          <w:sz w:val="18"/>
          <w:szCs w:val="18"/>
          <w:lang w:val="de-DE"/>
        </w:rPr>
        <w:t xml:space="preserve"> par le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24 </w:t>
      </w:r>
      <w:proofErr w:type="spellStart"/>
      <w:r>
        <w:rPr>
          <w:rFonts w:ascii="Book Antiqua" w:hAnsi="Book Antiqua" w:cs="Book Antiqua"/>
          <w:sz w:val="18"/>
          <w:szCs w:val="18"/>
          <w:lang w:val="de-DE"/>
        </w:rPr>
        <w:t>mai</w:t>
      </w:r>
      <w:proofErr w:type="spellEnd"/>
      <w:r>
        <w:rPr>
          <w:rFonts w:ascii="Book Antiqua" w:hAnsi="Book Antiqua" w:cs="Book Antiqua"/>
          <w:sz w:val="18"/>
          <w:szCs w:val="18"/>
          <w:lang w:val="de-DE"/>
        </w:rPr>
        <w:t xml:space="preserve"> 2017 </w:t>
      </w:r>
      <w:proofErr w:type="spellStart"/>
      <w:r>
        <w:rPr>
          <w:rFonts w:ascii="Book Antiqua" w:hAnsi="Book Antiqua" w:cs="Book Antiqua"/>
          <w:sz w:val="18"/>
          <w:szCs w:val="18"/>
          <w:lang w:val="de-DE"/>
        </w:rPr>
        <w:t>portant</w:t>
      </w:r>
      <w:proofErr w:type="spellEnd"/>
      <w:r>
        <w:rPr>
          <w:rFonts w:ascii="Book Antiqua" w:hAnsi="Book Antiqua" w:cs="Book Antiqua"/>
          <w:sz w:val="18"/>
          <w:szCs w:val="18"/>
          <w:lang w:val="de-DE"/>
        </w:rPr>
        <w:t xml:space="preserve"> diverses </w:t>
      </w:r>
      <w:proofErr w:type="spellStart"/>
      <w:r>
        <w:rPr>
          <w:rFonts w:ascii="Book Antiqua" w:hAnsi="Book Antiqua" w:cs="Book Antiqua"/>
          <w:sz w:val="18"/>
          <w:szCs w:val="18"/>
          <w:lang w:val="de-DE"/>
        </w:rPr>
        <w:t>mesures</w:t>
      </w:r>
      <w:proofErr w:type="spellEnd"/>
      <w:r>
        <w:rPr>
          <w:rFonts w:ascii="Book Antiqua" w:hAnsi="Book Antiqua" w:cs="Book Antiqua"/>
          <w:sz w:val="18"/>
          <w:szCs w:val="18"/>
          <w:lang w:val="de-DE"/>
        </w:rPr>
        <w:t xml:space="preserve"> </w:t>
      </w:r>
      <w:proofErr w:type="spellStart"/>
      <w:r>
        <w:rPr>
          <w:rFonts w:ascii="Book Antiqua" w:hAnsi="Book Antiqua" w:cs="Book Antiqua"/>
          <w:sz w:val="18"/>
          <w:szCs w:val="18"/>
          <w:lang w:val="de-DE"/>
        </w:rPr>
        <w:t>techniques</w:t>
      </w:r>
      <w:proofErr w:type="spellEnd"/>
      <w:r>
        <w:rPr>
          <w:rFonts w:ascii="Book Antiqua" w:hAnsi="Book Antiqua" w:cs="Book Antiqua"/>
          <w:sz w:val="18"/>
          <w:szCs w:val="18"/>
          <w:lang w:val="de-DE"/>
        </w:rPr>
        <w:t xml:space="preserve"> et </w:t>
      </w:r>
      <w:proofErr w:type="spellStart"/>
      <w:r>
        <w:rPr>
          <w:rFonts w:ascii="Book Antiqua" w:hAnsi="Book Antiqua" w:cs="Book Antiqua"/>
          <w:sz w:val="18"/>
          <w:szCs w:val="18"/>
          <w:lang w:val="de-DE"/>
        </w:rPr>
        <w:t>organisationnelles</w:t>
      </w:r>
      <w:proofErr w:type="spellEnd"/>
      <w:r>
        <w:rPr>
          <w:rFonts w:ascii="Book Antiqua" w:hAnsi="Book Antiqua" w:cs="Book Antiqua"/>
          <w:sz w:val="18"/>
          <w:szCs w:val="18"/>
          <w:lang w:val="de-DE"/>
        </w:rPr>
        <w:t xml:space="preserve"> en </w:t>
      </w:r>
      <w:proofErr w:type="spellStart"/>
      <w:r>
        <w:rPr>
          <w:rFonts w:ascii="Book Antiqua" w:hAnsi="Book Antiqua" w:cs="Book Antiqua"/>
          <w:sz w:val="18"/>
          <w:szCs w:val="18"/>
          <w:lang w:val="de-DE"/>
        </w:rPr>
        <w:t>matière</w:t>
      </w:r>
      <w:proofErr w:type="spellEnd"/>
      <w:r>
        <w:rPr>
          <w:rFonts w:ascii="Book Antiqua" w:hAnsi="Book Antiqua" w:cs="Book Antiqua"/>
          <w:sz w:val="18"/>
          <w:szCs w:val="18"/>
          <w:lang w:val="de-DE"/>
        </w:rPr>
        <w:t xml:space="preserve"> </w:t>
      </w:r>
      <w:proofErr w:type="spellStart"/>
      <w:r>
        <w:rPr>
          <w:rFonts w:ascii="Book Antiqua" w:hAnsi="Book Antiqua" w:cs="Book Antiqua"/>
          <w:sz w:val="18"/>
          <w:szCs w:val="18"/>
          <w:lang w:val="de-DE"/>
        </w:rPr>
        <w:t>d’enseignement</w:t>
      </w:r>
      <w:proofErr w:type="spellEnd"/>
      <w:r>
        <w:rPr>
          <w:rFonts w:ascii="Book Antiqua" w:hAnsi="Book Antiqua" w:cs="Book Antiqua"/>
          <w:sz w:val="18"/>
          <w:szCs w:val="18"/>
          <w:lang w:val="de-DE"/>
        </w:rPr>
        <w:t>.</w:t>
      </w:r>
    </w:p>
  </w:footnote>
  <w:footnote w:id="1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bis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p>
  </w:footnote>
  <w:footnote w:id="1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1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2. </w:t>
      </w:r>
    </w:p>
  </w:footnote>
  <w:footnote w:id="1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1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al. 3.</w:t>
      </w:r>
    </w:p>
  </w:footnote>
  <w:footnote w:id="2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w:t>
      </w:r>
      <w:proofErr w:type="spellStart"/>
      <w:r>
        <w:rPr>
          <w:rFonts w:ascii="Book Antiqua" w:hAnsi="Book Antiqua" w:cs="Book Antiqua"/>
          <w:sz w:val="18"/>
          <w:szCs w:val="18"/>
          <w:lang w:val="en-GB"/>
        </w:rPr>
        <w:t>Ibidem</w:t>
      </w:r>
      <w:proofErr w:type="spellEnd"/>
      <w:r>
        <w:rPr>
          <w:rFonts w:ascii="Book Antiqua" w:hAnsi="Book Antiqua" w:cs="Book Antiqua"/>
          <w:sz w:val="18"/>
          <w:szCs w:val="18"/>
          <w:lang w:val="en-GB"/>
        </w:rPr>
        <w:t>, art. 2ter, §3</w:t>
      </w:r>
    </w:p>
  </w:footnote>
  <w:footnote w:id="2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2">
    <w:p>
      <w:pPr>
        <w:pStyle w:val="Notedebasdepage"/>
        <w:spacing w:after="60"/>
        <w:rPr>
          <w:rFonts w:ascii="Book Antiqua" w:hAnsi="Book Antiqua" w:cs="Book Antiqua"/>
          <w:sz w:val="18"/>
          <w:szCs w:val="18"/>
          <w:lang w:val="de-DE"/>
        </w:rPr>
      </w:pPr>
      <w:r>
        <w:rPr>
          <w:rStyle w:val="Appelnotedebasdep"/>
        </w:rPr>
        <w:footnoteRef/>
      </w:r>
      <w:r>
        <w:rPr>
          <w:lang w:val="en-US"/>
        </w:rPr>
        <w:t xml:space="preserve"> </w:t>
      </w:r>
      <w:r>
        <w:rPr>
          <w:lang w:val="en-US"/>
        </w:rPr>
        <w:tab/>
      </w:r>
      <w:r>
        <w:rPr>
          <w:rFonts w:ascii="Book Antiqua" w:hAnsi="Book Antiqua" w:cs="Book Antiqua"/>
          <w:sz w:val="18"/>
          <w:szCs w:val="18"/>
          <w:lang w:val="de-DE"/>
        </w:rPr>
        <w:t>Ibidem art. 2ter,§3,al. 4.</w:t>
      </w:r>
    </w:p>
  </w:footnote>
  <w:footnote w:id="2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2.</w:t>
      </w:r>
    </w:p>
  </w:footnote>
  <w:footnote w:id="2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3.</w:t>
      </w:r>
    </w:p>
  </w:footnote>
  <w:footnote w:id="2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4.</w:t>
      </w:r>
    </w:p>
  </w:footnote>
  <w:footnote w:id="30">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bis</w:t>
      </w:r>
      <w:r>
        <w:rPr>
          <w:rFonts w:ascii="Book Antiqua" w:hAnsi="Book Antiqua" w:cs="Book Antiqua"/>
          <w:sz w:val="18"/>
          <w:szCs w:val="18"/>
          <w:lang w:val="de-DE"/>
        </w:rPr>
        <w:t>,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31">
    <w:p>
      <w:pPr>
        <w:pStyle w:val="Notedebasdepage"/>
        <w:spacing w:after="60"/>
        <w:ind w:left="709" w:hanging="709"/>
        <w:jc w:val="both"/>
      </w:pPr>
      <w:r>
        <w:rPr>
          <w:rStyle w:val="Caractresdenotedebasdepage"/>
          <w:rFonts w:ascii="Book Antiqua" w:hAnsi="Book Antiqua" w:cs="Courier New"/>
        </w:rPr>
        <w:footnoteRef/>
      </w:r>
      <w:r>
        <w:tab/>
      </w:r>
      <w:r>
        <w:rPr>
          <w:rFonts w:ascii="Book Antiqua" w:hAnsi="Book Antiqua" w:cs="Book Antiqua"/>
          <w:sz w:val="18"/>
          <w:szCs w:val="18"/>
        </w:rPr>
        <w:t xml:space="preserve">Décret du 24 juillet 1997 définissant les missions prioritaires de l’enseignement fondamental et de l’enseignement secondaire et organisant les structures propres à les atteindre. </w:t>
      </w:r>
    </w:p>
  </w:footnote>
  <w:footnote w:id="32">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fr-BE"/>
        </w:rPr>
        <w:tab/>
        <w:t xml:space="preserve"> Décret du 3 juillet 1991 précité, art. 2</w:t>
      </w:r>
      <w:r>
        <w:rPr>
          <w:rFonts w:ascii="Book Antiqua" w:hAnsi="Book Antiqua" w:cs="Book Antiqua"/>
          <w:i/>
          <w:sz w:val="18"/>
          <w:szCs w:val="18"/>
          <w:lang w:val="fr-BE"/>
        </w:rPr>
        <w:t>bis</w:t>
      </w:r>
      <w:r>
        <w:rPr>
          <w:rFonts w:ascii="Book Antiqua" w:hAnsi="Book Antiqua" w:cs="Book Antiqua"/>
          <w:sz w:val="18"/>
          <w:szCs w:val="18"/>
          <w:lang w:val="fr-BE"/>
        </w:rPr>
        <w:t>, §2, al. 2.</w:t>
      </w:r>
    </w:p>
  </w:footnote>
  <w:footnote w:id="33">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Ibidem, art. 2</w:t>
      </w:r>
      <w:r>
        <w:rPr>
          <w:rFonts w:ascii="Book Antiqua" w:hAnsi="Book Antiqua" w:cs="Book Antiqua"/>
          <w:i/>
          <w:sz w:val="18"/>
          <w:szCs w:val="18"/>
        </w:rPr>
        <w:t>bis</w:t>
      </w:r>
      <w:r>
        <w:rPr>
          <w:rFonts w:ascii="Book Antiqua" w:hAnsi="Book Antiqua" w:cs="Book Antiqua"/>
          <w:sz w:val="18"/>
          <w:szCs w:val="18"/>
        </w:rPr>
        <w:t>, §4.</w:t>
      </w:r>
    </w:p>
  </w:footnote>
  <w:footnote w:id="34">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ter</w:t>
      </w:r>
      <w:r>
        <w:rPr>
          <w:rFonts w:ascii="Book Antiqua" w:hAnsi="Book Antiqua" w:cs="Book Antiqua"/>
          <w:sz w:val="18"/>
          <w:szCs w:val="18"/>
        </w:rPr>
        <w:t>, §4, al. 1</w:t>
      </w:r>
      <w:r>
        <w:rPr>
          <w:rFonts w:ascii="Book Antiqua" w:hAnsi="Book Antiqua" w:cs="Book Antiqua"/>
          <w:sz w:val="18"/>
          <w:szCs w:val="18"/>
          <w:vertAlign w:val="superscript"/>
        </w:rPr>
        <w:t>er</w:t>
      </w:r>
      <w:r>
        <w:rPr>
          <w:rFonts w:ascii="Book Antiqua" w:hAnsi="Book Antiqua" w:cs="Book Antiqua"/>
          <w:sz w:val="18"/>
          <w:szCs w:val="18"/>
        </w:rPr>
        <w:t>.</w:t>
      </w:r>
    </w:p>
  </w:footnote>
  <w:footnote w:id="35">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Loi du 29 juin 1983 concernant l’obligation scolaire.</w:t>
      </w:r>
    </w:p>
  </w:footnote>
  <w:footnote w:id="36">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24 juillet 1997</w:t>
      </w:r>
      <w:r>
        <w:rPr>
          <w:rFonts w:ascii="Book Antiqua" w:hAnsi="Book Antiqua" w:cs="Book Antiqua"/>
          <w:bCs/>
          <w:sz w:val="18"/>
          <w:szCs w:val="18"/>
        </w:rPr>
        <w:t xml:space="preserve"> définissant les missions prioritaires de l'enseignement fondamental et de   l'enseignement secondaire et organisant les structures propres à les atteindre</w:t>
      </w:r>
      <w:r>
        <w:rPr>
          <w:rFonts w:ascii="Book Antiqua" w:hAnsi="Book Antiqua" w:cs="Book Antiqua"/>
          <w:sz w:val="18"/>
          <w:szCs w:val="18"/>
        </w:rPr>
        <w:t>, art. 76, al. 6.</w:t>
      </w:r>
    </w:p>
  </w:footnote>
  <w:footnote w:id="37">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bis</w:t>
      </w:r>
      <w:r>
        <w:rPr>
          <w:rFonts w:ascii="Book Antiqua" w:hAnsi="Book Antiqua" w:cs="Book Antiqua"/>
          <w:sz w:val="18"/>
          <w:szCs w:val="18"/>
        </w:rPr>
        <w:t>, §4, al. 1</w:t>
      </w:r>
      <w:r>
        <w:rPr>
          <w:rFonts w:ascii="Book Antiqua" w:hAnsi="Book Antiqua" w:cs="Book Antiqua"/>
          <w:sz w:val="18"/>
          <w:szCs w:val="18"/>
          <w:vertAlign w:val="superscript"/>
        </w:rPr>
        <w:t>er</w:t>
      </w:r>
      <w:r>
        <w:rPr>
          <w:rFonts w:ascii="Book Antiqua" w:hAnsi="Book Antiqua" w:cs="Book Antiqua"/>
          <w:sz w:val="18"/>
          <w:szCs w:val="18"/>
        </w:rPr>
        <w:t xml:space="preserve">. </w:t>
      </w:r>
    </w:p>
  </w:footnote>
  <w:footnote w:id="3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bis</w:t>
      </w:r>
      <w:r>
        <w:rPr>
          <w:rFonts w:ascii="Book Antiqua" w:hAnsi="Book Antiqua" w:cs="Book Antiqua"/>
          <w:sz w:val="18"/>
          <w:szCs w:val="18"/>
          <w:lang w:val="de-DE"/>
        </w:rPr>
        <w:t>, §4, al. 2.</w:t>
      </w:r>
    </w:p>
  </w:footnote>
  <w:footnote w:id="3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3, §1</w:t>
      </w:r>
      <w:r>
        <w:rPr>
          <w:rFonts w:ascii="Book Antiqua" w:hAnsi="Book Antiqua" w:cs="Book Antiqua"/>
          <w:sz w:val="18"/>
          <w:szCs w:val="18"/>
          <w:vertAlign w:val="superscript"/>
          <w:lang w:val="de-DE"/>
        </w:rPr>
        <w:t>er</w:t>
      </w:r>
      <w:r>
        <w:rPr>
          <w:rFonts w:ascii="Book Antiqua" w:hAnsi="Book Antiqua" w:cs="Book Antiqua"/>
          <w:sz w:val="18"/>
          <w:szCs w:val="18"/>
          <w:lang w:val="de-DE"/>
        </w:rPr>
        <w:t>, al.1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4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41">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7.</w:t>
      </w:r>
    </w:p>
  </w:footnote>
  <w:footnote w:id="42">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Loi du 29 juin 1983 concernant l’obligation scolaire, art. 1, §1</w:t>
      </w:r>
      <w:r>
        <w:rPr>
          <w:rFonts w:ascii="Book Antiqua" w:hAnsi="Book Antiqua" w:cs="Book Antiqua"/>
          <w:sz w:val="18"/>
          <w:szCs w:val="18"/>
          <w:vertAlign w:val="superscript"/>
        </w:rPr>
        <w:t>er</w:t>
      </w:r>
      <w:r>
        <w:rPr>
          <w:rFonts w:ascii="Book Antiqua" w:hAnsi="Book Antiqua" w:cs="Book Antiqua"/>
          <w:sz w:val="18"/>
          <w:szCs w:val="18"/>
        </w:rPr>
        <w:t>, al. 2.</w:t>
      </w:r>
    </w:p>
  </w:footnote>
  <w:footnote w:id="43">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44">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3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1991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45">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46">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4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w:t>
      </w:r>
      <w:proofErr w:type="spellStart"/>
      <w:r>
        <w:rPr>
          <w:rFonts w:ascii="Book Antiqua" w:hAnsi="Book Antiqua" w:cs="Book Antiqua"/>
          <w:sz w:val="18"/>
          <w:szCs w:val="18"/>
          <w:lang w:val="en-GB"/>
        </w:rPr>
        <w:t>Ibidem</w:t>
      </w:r>
      <w:proofErr w:type="spellEnd"/>
      <w:r>
        <w:rPr>
          <w:rFonts w:ascii="Book Antiqua" w:hAnsi="Book Antiqua" w:cs="Book Antiqua"/>
          <w:sz w:val="18"/>
          <w:szCs w:val="18"/>
          <w:lang w:val="en-GB"/>
        </w:rPr>
        <w:t>, art. 8, §2.</w:t>
      </w:r>
    </w:p>
  </w:footnote>
  <w:footnote w:id="4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4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50">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5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8,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5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53">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54">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5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r>
        <w:rPr>
          <w:rFonts w:ascii="Book Antiqua" w:hAnsi="Book Antiqua" w:cs="Book Antiqua"/>
          <w:sz w:val="18"/>
          <w:szCs w:val="18"/>
        </w:rPr>
        <w:t xml:space="preserve">Arrêté royal du 29 juin 1984 relatif à l’organisation de l’enseignement secondaire, </w:t>
      </w:r>
      <w:r>
        <w:rPr>
          <w:rFonts w:ascii="Book Antiqua" w:hAnsi="Book Antiqua" w:cs="Book Antiqua"/>
          <w:sz w:val="18"/>
          <w:szCs w:val="18"/>
          <w:lang w:val="de-DE"/>
        </w:rPr>
        <w:t xml:space="preserve">art. 12, 2°. </w:t>
      </w:r>
    </w:p>
  </w:footnote>
  <w:footnote w:id="5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3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1991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5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5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59">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Arrêté</w:t>
      </w:r>
      <w:proofErr w:type="spellEnd"/>
      <w:r>
        <w:rPr>
          <w:rFonts w:ascii="Book Antiqua" w:hAnsi="Book Antiqua" w:cs="Book Antiqua"/>
          <w:sz w:val="18"/>
          <w:szCs w:val="18"/>
          <w:lang w:val="de-DE"/>
        </w:rPr>
        <w:t xml:space="preserve"> royal du 29 </w:t>
      </w:r>
      <w:proofErr w:type="spellStart"/>
      <w:r>
        <w:rPr>
          <w:rFonts w:ascii="Book Antiqua" w:hAnsi="Book Antiqua" w:cs="Book Antiqua"/>
          <w:sz w:val="18"/>
          <w:szCs w:val="18"/>
          <w:lang w:val="de-DE"/>
        </w:rPr>
        <w:t>juin</w:t>
      </w:r>
      <w:proofErr w:type="spellEnd"/>
      <w:r>
        <w:rPr>
          <w:rFonts w:ascii="Book Antiqua" w:hAnsi="Book Antiqua" w:cs="Book Antiqua"/>
          <w:sz w:val="18"/>
          <w:szCs w:val="18"/>
          <w:lang w:val="de-DE"/>
        </w:rPr>
        <w:t xml:space="preserve"> 1984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19.</w:t>
      </w:r>
    </w:p>
  </w:footnote>
  <w:footnote w:id="6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2°.</w:t>
      </w:r>
      <w:r>
        <w:rPr>
          <w:rFonts w:ascii="Book Antiqua" w:hAnsi="Book Antiqua" w:cs="Book Antiqua"/>
          <w:color w:val="FF0000"/>
          <w:sz w:val="18"/>
          <w:szCs w:val="18"/>
          <w:lang w:val="de-DE"/>
        </w:rPr>
        <w:t xml:space="preserve"> </w:t>
      </w:r>
    </w:p>
  </w:footnote>
  <w:footnote w:id="61">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3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1991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62">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63">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64">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Pour les conditions d’admission en CPU, voir Chapitre III, VII, 5.</w:t>
      </w:r>
    </w:p>
  </w:footnote>
  <w:footnote w:id="6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Arrêté</w:t>
      </w:r>
      <w:proofErr w:type="spellEnd"/>
      <w:r>
        <w:rPr>
          <w:rFonts w:ascii="Book Antiqua" w:hAnsi="Book Antiqua" w:cs="Book Antiqua"/>
          <w:sz w:val="18"/>
          <w:szCs w:val="18"/>
          <w:lang w:val="de-DE"/>
        </w:rPr>
        <w:t xml:space="preserve"> royal du 29 </w:t>
      </w:r>
      <w:proofErr w:type="spellStart"/>
      <w:r>
        <w:rPr>
          <w:rFonts w:ascii="Book Antiqua" w:hAnsi="Book Antiqua" w:cs="Book Antiqua"/>
          <w:sz w:val="18"/>
          <w:szCs w:val="18"/>
          <w:lang w:val="de-DE"/>
        </w:rPr>
        <w:t>juin</w:t>
      </w:r>
      <w:proofErr w:type="spellEnd"/>
      <w:r>
        <w:rPr>
          <w:rFonts w:ascii="Book Antiqua" w:hAnsi="Book Antiqua" w:cs="Book Antiqua"/>
          <w:sz w:val="18"/>
          <w:szCs w:val="18"/>
          <w:lang w:val="de-DE"/>
        </w:rPr>
        <w:t xml:space="preserve"> 1984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16, §1er, 5°</w:t>
      </w:r>
      <w:r>
        <w:rPr>
          <w:rFonts w:ascii="Book Antiqua" w:hAnsi="Book Antiqua" w:cs="Book Antiqua"/>
          <w:color w:val="FF0000"/>
          <w:sz w:val="18"/>
          <w:szCs w:val="18"/>
          <w:lang w:val="de-DE"/>
        </w:rPr>
        <w:t xml:space="preserve"> </w:t>
      </w:r>
    </w:p>
  </w:footnote>
  <w:footnote w:id="6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3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1991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6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6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69">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Pour les conditions d’admission en CPU, voir Chapitre III, VII, 5.</w:t>
      </w:r>
    </w:p>
  </w:footnote>
  <w:footnote w:id="70">
    <w:p>
      <w:pPr>
        <w:pStyle w:val="Notedebasdepage"/>
        <w:spacing w:after="60"/>
        <w:ind w:left="709" w:hanging="709"/>
      </w:pPr>
      <w:r>
        <w:rPr>
          <w:rStyle w:val="Caractresdenotedebasdepage"/>
          <w:rFonts w:ascii="Book Antiqua" w:hAnsi="Book Antiqua" w:cs="Courier New"/>
        </w:rPr>
        <w:footnoteRef/>
      </w:r>
      <w:r>
        <w:rPr>
          <w:rFonts w:ascii="Book Antiqua" w:hAnsi="Book Antiqua" w:cs="Book Antiqua"/>
          <w:sz w:val="18"/>
          <w:szCs w:val="18"/>
        </w:rPr>
        <w:tab/>
        <w:t xml:space="preserve"> Voir circulaire annuelle relative à l’organisation de l’enseignement secondaire ordinaire et à la sanction des études.</w:t>
      </w:r>
    </w:p>
  </w:footnote>
  <w:footnote w:id="71">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Arrêté</w:t>
      </w:r>
      <w:proofErr w:type="spellEnd"/>
      <w:r>
        <w:rPr>
          <w:rFonts w:ascii="Book Antiqua" w:hAnsi="Book Antiqua" w:cs="Book Antiqua"/>
          <w:sz w:val="18"/>
          <w:szCs w:val="18"/>
          <w:lang w:val="de-DE"/>
        </w:rPr>
        <w:t xml:space="preserve"> royal du 29 </w:t>
      </w:r>
      <w:proofErr w:type="spellStart"/>
      <w:r>
        <w:rPr>
          <w:rFonts w:ascii="Book Antiqua" w:hAnsi="Book Antiqua" w:cs="Book Antiqua"/>
          <w:sz w:val="18"/>
          <w:szCs w:val="18"/>
          <w:lang w:val="de-DE"/>
        </w:rPr>
        <w:t>juin</w:t>
      </w:r>
      <w:proofErr w:type="spellEnd"/>
      <w:r>
        <w:rPr>
          <w:rFonts w:ascii="Book Antiqua" w:hAnsi="Book Antiqua" w:cs="Book Antiqua"/>
          <w:sz w:val="18"/>
          <w:szCs w:val="18"/>
          <w:lang w:val="de-DE"/>
        </w:rPr>
        <w:t xml:space="preserve"> 1984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17,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72">
    <w:p>
      <w:pPr>
        <w:pStyle w:val="Titre3"/>
        <w:keepNext w:val="0"/>
        <w:spacing w:after="60"/>
        <w:ind w:hanging="709"/>
        <w:jc w:val="both"/>
      </w:pPr>
      <w:r>
        <w:rPr>
          <w:rStyle w:val="Caractresdenotedebasdepage"/>
          <w:rFonts w:ascii="Book Antiqua" w:hAnsi="Book Antiqua"/>
          <w:b w:val="0"/>
          <w:sz w:val="20"/>
          <w:szCs w:val="20"/>
        </w:rPr>
        <w:footnoteRef/>
      </w:r>
      <w:r>
        <w:rPr>
          <w:rFonts w:ascii="Book Antiqua" w:hAnsi="Book Antiqua" w:cs="Book Antiqua"/>
          <w:b w:val="0"/>
          <w:sz w:val="18"/>
          <w:szCs w:val="18"/>
        </w:rPr>
        <w:tab/>
        <w:t xml:space="preserve"> La circulaire annuelle</w:t>
      </w:r>
      <w:r>
        <w:rPr>
          <w:rFonts w:ascii="Book Antiqua" w:hAnsi="Book Antiqua" w:cs="Book Antiqua"/>
          <w:sz w:val="18"/>
          <w:szCs w:val="18"/>
        </w:rPr>
        <w:t xml:space="preserve"> </w:t>
      </w:r>
      <w:r>
        <w:rPr>
          <w:rFonts w:ascii="Book Antiqua" w:hAnsi="Book Antiqua" w:cs="Book Antiqua"/>
          <w:b w:val="0"/>
          <w:sz w:val="18"/>
          <w:szCs w:val="18"/>
        </w:rPr>
        <w:t>relative à l’organisation de l’enseignement secondaire ordinaire et à la sanction des études détermine les 7</w:t>
      </w:r>
      <w:r>
        <w:rPr>
          <w:rFonts w:ascii="Book Antiqua" w:hAnsi="Book Antiqua" w:cs="Book Antiqua"/>
          <w:b w:val="0"/>
          <w:sz w:val="18"/>
          <w:szCs w:val="18"/>
          <w:vertAlign w:val="superscript"/>
        </w:rPr>
        <w:t>èmes</w:t>
      </w:r>
      <w:r>
        <w:rPr>
          <w:rFonts w:ascii="Book Antiqua" w:hAnsi="Book Antiqua" w:cs="Book Antiqua"/>
          <w:b w:val="0"/>
          <w:sz w:val="18"/>
          <w:szCs w:val="18"/>
        </w:rPr>
        <w:t xml:space="preserve"> années qualifiantes et complémentaires qui requièrent la détention du certificat de qualification de 6</w:t>
      </w:r>
      <w:r>
        <w:rPr>
          <w:rFonts w:ascii="Book Antiqua" w:hAnsi="Book Antiqua" w:cs="Book Antiqua"/>
          <w:b w:val="0"/>
          <w:sz w:val="18"/>
          <w:szCs w:val="18"/>
          <w:vertAlign w:val="superscript"/>
        </w:rPr>
        <w:t>ème</w:t>
      </w:r>
      <w:r>
        <w:rPr>
          <w:rFonts w:ascii="Book Antiqua" w:hAnsi="Book Antiqua" w:cs="Book Antiqua"/>
          <w:b w:val="0"/>
          <w:sz w:val="18"/>
          <w:szCs w:val="18"/>
        </w:rPr>
        <w:t xml:space="preserve"> année.</w:t>
      </w:r>
    </w:p>
  </w:footnote>
  <w:footnote w:id="73">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3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1991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74">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75">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7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Arrêté</w:t>
      </w:r>
      <w:proofErr w:type="spellEnd"/>
      <w:r>
        <w:rPr>
          <w:rFonts w:ascii="Book Antiqua" w:hAnsi="Book Antiqua" w:cs="Book Antiqua"/>
          <w:sz w:val="18"/>
          <w:szCs w:val="18"/>
          <w:lang w:val="de-DE"/>
        </w:rPr>
        <w:t xml:space="preserve"> royal du 29 </w:t>
      </w:r>
      <w:proofErr w:type="spellStart"/>
      <w:r>
        <w:rPr>
          <w:rFonts w:ascii="Book Antiqua" w:hAnsi="Book Antiqua" w:cs="Book Antiqua"/>
          <w:sz w:val="18"/>
          <w:szCs w:val="18"/>
          <w:lang w:val="de-DE"/>
        </w:rPr>
        <w:t>juin</w:t>
      </w:r>
      <w:proofErr w:type="spellEnd"/>
      <w:r>
        <w:rPr>
          <w:rFonts w:ascii="Book Antiqua" w:hAnsi="Book Antiqua" w:cs="Book Antiqua"/>
          <w:sz w:val="18"/>
          <w:szCs w:val="18"/>
          <w:lang w:val="de-DE"/>
        </w:rPr>
        <w:t xml:space="preserve"> 1984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15, al. 1er, 1°</w:t>
      </w:r>
    </w:p>
  </w:footnote>
  <w:footnote w:id="77">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3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1991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7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7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80">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Pour les conditions d’admission en CPU, voir Chapitre III, VII, 5.</w:t>
      </w:r>
    </w:p>
  </w:footnote>
  <w:footnote w:id="81">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Arrêté</w:t>
      </w:r>
      <w:proofErr w:type="spellEnd"/>
      <w:r>
        <w:rPr>
          <w:rFonts w:ascii="Book Antiqua" w:hAnsi="Book Antiqua" w:cs="Book Antiqua"/>
          <w:sz w:val="18"/>
          <w:szCs w:val="18"/>
          <w:lang w:val="de-DE"/>
        </w:rPr>
        <w:t xml:space="preserve"> royal du 29 </w:t>
      </w:r>
      <w:proofErr w:type="spellStart"/>
      <w:r>
        <w:rPr>
          <w:rFonts w:ascii="Book Antiqua" w:hAnsi="Book Antiqua" w:cs="Book Antiqua"/>
          <w:sz w:val="18"/>
          <w:szCs w:val="18"/>
          <w:lang w:val="de-DE"/>
        </w:rPr>
        <w:t>juin</w:t>
      </w:r>
      <w:proofErr w:type="spellEnd"/>
      <w:r>
        <w:rPr>
          <w:rFonts w:ascii="Book Antiqua" w:hAnsi="Book Antiqua" w:cs="Book Antiqua"/>
          <w:sz w:val="18"/>
          <w:szCs w:val="18"/>
          <w:lang w:val="de-DE"/>
        </w:rPr>
        <w:t xml:space="preserve"> 1984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16, §1</w:t>
      </w:r>
      <w:r>
        <w:rPr>
          <w:rFonts w:ascii="Book Antiqua" w:hAnsi="Book Antiqua" w:cs="Book Antiqua"/>
          <w:sz w:val="18"/>
          <w:szCs w:val="18"/>
          <w:vertAlign w:val="superscript"/>
          <w:lang w:val="de-DE"/>
        </w:rPr>
        <w:t>er</w:t>
      </w:r>
      <w:r>
        <w:rPr>
          <w:rFonts w:ascii="Book Antiqua" w:hAnsi="Book Antiqua" w:cs="Book Antiqua"/>
          <w:sz w:val="18"/>
          <w:szCs w:val="18"/>
          <w:lang w:val="de-DE"/>
        </w:rPr>
        <w:t>, 2° et 3°.</w:t>
      </w:r>
    </w:p>
  </w:footnote>
  <w:footnote w:id="82">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3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1991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83">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84">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85">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Pour les conditions d’admission en CPU, voir Chapitre III, VII, 5.</w:t>
      </w:r>
    </w:p>
  </w:footnote>
  <w:footnote w:id="8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Arrêté</w:t>
      </w:r>
      <w:proofErr w:type="spellEnd"/>
      <w:r>
        <w:rPr>
          <w:rFonts w:ascii="Book Antiqua" w:hAnsi="Book Antiqua" w:cs="Book Antiqua"/>
          <w:sz w:val="18"/>
          <w:szCs w:val="18"/>
          <w:lang w:val="de-DE"/>
        </w:rPr>
        <w:t xml:space="preserve"> royal du 29 </w:t>
      </w:r>
      <w:proofErr w:type="spellStart"/>
      <w:r>
        <w:rPr>
          <w:rFonts w:ascii="Book Antiqua" w:hAnsi="Book Antiqua" w:cs="Book Antiqua"/>
          <w:sz w:val="18"/>
          <w:szCs w:val="18"/>
          <w:lang w:val="de-DE"/>
        </w:rPr>
        <w:t>juin</w:t>
      </w:r>
      <w:proofErr w:type="spellEnd"/>
      <w:r>
        <w:rPr>
          <w:rFonts w:ascii="Book Antiqua" w:hAnsi="Book Antiqua" w:cs="Book Antiqua"/>
          <w:sz w:val="18"/>
          <w:szCs w:val="18"/>
          <w:lang w:val="de-DE"/>
        </w:rPr>
        <w:t xml:space="preserve"> 1984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17,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1°. </w:t>
      </w:r>
    </w:p>
  </w:footnote>
  <w:footnote w:id="87">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3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1991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8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8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9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Arrêté royal du 29 juin 1984 relatif à l’organisation de l’enseignement secondaire, art. 18. </w:t>
      </w:r>
    </w:p>
  </w:footnote>
  <w:footnote w:id="91">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20, §3.</w:t>
      </w:r>
      <w:r>
        <w:rPr>
          <w:lang w:val="de-DE"/>
        </w:rPr>
        <w:t xml:space="preserve"> </w:t>
      </w:r>
    </w:p>
  </w:footnote>
  <w:footnote w:id="92">
    <w:p>
      <w:pPr>
        <w:pStyle w:val="Notedebasdepage"/>
      </w:pPr>
      <w:r>
        <w:rPr>
          <w:rStyle w:val="Caractresdenotedebasdepage"/>
          <w:rFonts w:ascii="Book Antiqua" w:hAnsi="Book Antiqua" w:cs="Courier New"/>
          <w:sz w:val="18"/>
          <w:szCs w:val="18"/>
        </w:rPr>
        <w:footnoteRef/>
      </w:r>
      <w:r>
        <w:rPr>
          <w:rFonts w:ascii="Book Antiqua" w:hAnsi="Book Antiqua"/>
          <w:sz w:val="18"/>
          <w:szCs w:val="18"/>
          <w:lang w:val="fr-BE"/>
        </w:rPr>
        <w:tab/>
        <w:t xml:space="preserve"> Ibidem, art. 56, 1°.</w:t>
      </w:r>
    </w:p>
  </w:footnote>
  <w:footnote w:id="93">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3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1991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 xml:space="preserve">, art. 3, §2 </w:t>
      </w:r>
    </w:p>
  </w:footnote>
  <w:footnote w:id="94">
    <w:p>
      <w:pPr>
        <w:pStyle w:val="Notedebasdepage"/>
        <w:rPr>
          <w:i/>
          <w:lang w:val="fr-BE"/>
        </w:rPr>
      </w:pPr>
      <w:r>
        <w:rPr>
          <w:rStyle w:val="Appelnotedebasdep"/>
        </w:rPr>
        <w:footnoteRef/>
      </w:r>
      <w:r>
        <w:t xml:space="preserve">     </w:t>
      </w:r>
      <w:proofErr w:type="spellStart"/>
      <w:r>
        <w:rPr>
          <w:rFonts w:ascii="Book Antiqua" w:hAnsi="Book Antiqua" w:cs="Book Antiqua"/>
          <w:sz w:val="18"/>
          <w:szCs w:val="18"/>
          <w:lang w:val="de-DE"/>
        </w:rPr>
        <w:t>Arrêté</w:t>
      </w:r>
      <w:proofErr w:type="spellEnd"/>
      <w:r>
        <w:rPr>
          <w:rFonts w:ascii="Book Antiqua" w:hAnsi="Book Antiqua" w:cs="Book Antiqua"/>
          <w:sz w:val="18"/>
          <w:szCs w:val="18"/>
          <w:lang w:val="de-DE"/>
        </w:rPr>
        <w:t xml:space="preserve"> du Gouvernement de la Communauté </w:t>
      </w:r>
      <w:proofErr w:type="spellStart"/>
      <w:r>
        <w:rPr>
          <w:rFonts w:ascii="Book Antiqua" w:hAnsi="Book Antiqua" w:cs="Book Antiqua"/>
          <w:sz w:val="18"/>
          <w:szCs w:val="18"/>
          <w:lang w:val="de-DE"/>
        </w:rPr>
        <w:t>française</w:t>
      </w:r>
      <w:proofErr w:type="spellEnd"/>
      <w:r>
        <w:rPr>
          <w:rFonts w:ascii="Book Antiqua" w:hAnsi="Book Antiqua" w:cs="Book Antiqua"/>
          <w:sz w:val="18"/>
          <w:szCs w:val="18"/>
          <w:lang w:val="de-DE"/>
        </w:rPr>
        <w:t xml:space="preserve"> du 17 </w:t>
      </w:r>
      <w:proofErr w:type="spellStart"/>
      <w:r>
        <w:rPr>
          <w:rFonts w:ascii="Book Antiqua" w:hAnsi="Book Antiqua" w:cs="Book Antiqua"/>
          <w:sz w:val="18"/>
          <w:szCs w:val="18"/>
          <w:lang w:val="de-DE"/>
        </w:rPr>
        <w:t>juillet</w:t>
      </w:r>
      <w:proofErr w:type="spellEnd"/>
      <w:r>
        <w:rPr>
          <w:rFonts w:ascii="Book Antiqua" w:hAnsi="Book Antiqua" w:cs="Book Antiqua"/>
          <w:sz w:val="18"/>
          <w:szCs w:val="18"/>
          <w:lang w:val="de-DE"/>
        </w:rPr>
        <w:t xml:space="preserve"> 2015 </w:t>
      </w:r>
      <w:proofErr w:type="spellStart"/>
      <w:r>
        <w:rPr>
          <w:rFonts w:ascii="Book Antiqua" w:hAnsi="Book Antiqua" w:cs="Book Antiqua"/>
          <w:i/>
          <w:sz w:val="18"/>
          <w:szCs w:val="18"/>
          <w:lang w:val="de-DE"/>
        </w:rPr>
        <w:t>relatif</w:t>
      </w:r>
      <w:proofErr w:type="spellEnd"/>
      <w:r>
        <w:rPr>
          <w:rFonts w:ascii="Book Antiqua" w:hAnsi="Book Antiqua" w:cs="Book Antiqua"/>
          <w:i/>
          <w:sz w:val="18"/>
          <w:szCs w:val="18"/>
          <w:lang w:val="de-DE"/>
        </w:rPr>
        <w:t xml:space="preserve"> au </w:t>
      </w:r>
      <w:proofErr w:type="spellStart"/>
      <w:r>
        <w:rPr>
          <w:rFonts w:ascii="Book Antiqua" w:hAnsi="Book Antiqua" w:cs="Book Antiqua"/>
          <w:i/>
          <w:sz w:val="18"/>
          <w:szCs w:val="18"/>
          <w:lang w:val="de-DE"/>
        </w:rPr>
        <w:t>contrat</w:t>
      </w:r>
      <w:proofErr w:type="spellEnd"/>
      <w:r>
        <w:rPr>
          <w:rFonts w:ascii="Book Antiqua" w:hAnsi="Book Antiqua" w:cs="Book Antiqua"/>
          <w:i/>
          <w:sz w:val="18"/>
          <w:szCs w:val="18"/>
          <w:lang w:val="de-DE"/>
        </w:rPr>
        <w:t xml:space="preserve"> </w:t>
      </w:r>
      <w:proofErr w:type="spellStart"/>
      <w:r>
        <w:rPr>
          <w:rFonts w:ascii="Book Antiqua" w:hAnsi="Book Antiqua" w:cs="Book Antiqua"/>
          <w:i/>
          <w:sz w:val="18"/>
          <w:szCs w:val="18"/>
          <w:lang w:val="de-DE"/>
        </w:rPr>
        <w:t>d’alternance</w:t>
      </w:r>
      <w:proofErr w:type="spellEnd"/>
      <w:r>
        <w:rPr>
          <w:rFonts w:ascii="Book Antiqua" w:hAnsi="Book Antiqua" w:cs="Book Antiqua"/>
          <w:sz w:val="18"/>
          <w:szCs w:val="18"/>
          <w:lang w:val="de-DE"/>
        </w:rPr>
        <w:t>.</w:t>
      </w:r>
    </w:p>
  </w:footnote>
  <w:footnote w:id="95">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w:t>
      </w:r>
      <w:proofErr w:type="spellStart"/>
      <w:r>
        <w:rPr>
          <w:rFonts w:ascii="Book Antiqua" w:hAnsi="Book Antiqua" w:cs="Book Antiqua"/>
          <w:sz w:val="18"/>
          <w:szCs w:val="18"/>
          <w:lang w:val="de-DE"/>
        </w:rPr>
        <w:t>art.</w:t>
      </w:r>
      <w:proofErr w:type="spellEnd"/>
      <w:r>
        <w:rPr>
          <w:rFonts w:ascii="Book Antiqua" w:hAnsi="Book Antiqua" w:cs="Book Antiqua"/>
          <w:sz w:val="18"/>
          <w:szCs w:val="18"/>
          <w:lang w:val="de-DE"/>
        </w:rPr>
        <w:t>26</w:t>
      </w:r>
    </w:p>
  </w:footnote>
  <w:footnote w:id="96">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en-US"/>
        </w:rPr>
        <w:tab/>
        <w:t xml:space="preserve"> </w:t>
      </w:r>
      <w:proofErr w:type="spellStart"/>
      <w:r>
        <w:rPr>
          <w:rFonts w:ascii="Book Antiqua" w:hAnsi="Book Antiqua" w:cs="Book Antiqua"/>
          <w:sz w:val="18"/>
          <w:szCs w:val="18"/>
          <w:lang w:val="en-US"/>
        </w:rPr>
        <w:t>Ibidem</w:t>
      </w:r>
      <w:proofErr w:type="spellEnd"/>
    </w:p>
  </w:footnote>
  <w:footnote w:id="9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en-US"/>
        </w:rPr>
        <w:tab/>
        <w:t xml:space="preserve"> </w:t>
      </w:r>
      <w:proofErr w:type="spellStart"/>
      <w:r>
        <w:rPr>
          <w:rFonts w:ascii="Book Antiqua" w:hAnsi="Book Antiqua" w:cs="Book Antiqua"/>
          <w:sz w:val="18"/>
          <w:szCs w:val="18"/>
          <w:lang w:val="en-US"/>
        </w:rPr>
        <w:t>Ibidem</w:t>
      </w:r>
      <w:proofErr w:type="spellEnd"/>
      <w:r>
        <w:rPr>
          <w:rFonts w:ascii="Book Antiqua" w:hAnsi="Book Antiqua" w:cs="Book Antiqua"/>
          <w:sz w:val="18"/>
          <w:szCs w:val="18"/>
          <w:lang w:val="en-US"/>
        </w:rPr>
        <w:t>, art. 26, al.3</w:t>
      </w:r>
    </w:p>
  </w:footnote>
  <w:footnote w:id="98">
    <w:p>
      <w:pPr>
        <w:pStyle w:val="Notedebasdepage"/>
        <w:spacing w:after="60"/>
        <w:jc w:val="both"/>
        <w:rPr>
          <w:lang w:val="fr-BE"/>
        </w:rPr>
      </w:pPr>
      <w:r>
        <w:rPr>
          <w:rStyle w:val="Caractresdenotedebasdepage"/>
          <w:rFonts w:ascii="Book Antiqua" w:hAnsi="Book Antiqua" w:cs="Courier New"/>
        </w:rPr>
        <w:footnoteRef/>
      </w:r>
      <w:r>
        <w:rPr>
          <w:rFonts w:ascii="Book Antiqua" w:hAnsi="Book Antiqua" w:cs="Book Antiqua"/>
          <w:sz w:val="18"/>
          <w:szCs w:val="18"/>
          <w:lang w:val="fr-BE"/>
        </w:rPr>
        <w:tab/>
        <w:t xml:space="preserve"> Décret du 3 juillet 1991 précité, art. 2</w:t>
      </w:r>
      <w:r>
        <w:rPr>
          <w:rFonts w:ascii="Book Antiqua" w:hAnsi="Book Antiqua" w:cs="Book Antiqua"/>
          <w:i/>
          <w:sz w:val="18"/>
          <w:szCs w:val="18"/>
          <w:lang w:val="fr-BE"/>
        </w:rPr>
        <w:t>ter</w:t>
      </w:r>
      <w:r>
        <w:rPr>
          <w:rFonts w:ascii="Book Antiqua" w:hAnsi="Book Antiqua" w:cs="Book Antiqua"/>
          <w:sz w:val="18"/>
          <w:szCs w:val="18"/>
          <w:lang w:val="fr-BE"/>
        </w:rPr>
        <w:t>, §4, al. 2</w:t>
      </w:r>
    </w:p>
  </w:footnote>
  <w:footnote w:id="9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§3, al. 3.</w:t>
      </w:r>
    </w:p>
  </w:footnote>
  <w:footnote w:id="100">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w:t>
      </w:r>
      <w:r>
        <w:rPr>
          <w:rFonts w:ascii="Book Antiqua" w:hAnsi="Book Antiqua" w:cs="Book Antiqua"/>
          <w:i/>
          <w:sz w:val="18"/>
          <w:szCs w:val="18"/>
          <w:lang w:val="de-DE"/>
        </w:rPr>
        <w:t>bis</w:t>
      </w:r>
      <w:r>
        <w:rPr>
          <w:rFonts w:ascii="Book Antiqua" w:hAnsi="Book Antiqua" w:cs="Book Antiqua"/>
          <w:sz w:val="18"/>
          <w:szCs w:val="18"/>
          <w:lang w:val="de-DE"/>
        </w:rPr>
        <w:t xml:space="preserve">. </w:t>
      </w:r>
    </w:p>
  </w:footnote>
  <w:footnote w:id="101">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2ter, §3,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r>
        <w:rPr>
          <w:rFonts w:ascii="Book Antiqua" w:hAnsi="Book Antiqua" w:cs="Book Antiqua"/>
          <w:sz w:val="18"/>
          <w:szCs w:val="18"/>
        </w:rPr>
        <w:t xml:space="preserve">Pour les procédures d’exclusion, se référer au </w:t>
      </w:r>
      <w:r>
        <w:rPr>
          <w:rFonts w:ascii="Book Antiqua" w:hAnsi="Book Antiqua" w:cs="Arial"/>
          <w:sz w:val="18"/>
          <w:szCs w:val="18"/>
          <w:lang w:val="fr-BE"/>
        </w:rPr>
        <w:t>décret « Missions »</w:t>
      </w:r>
      <w:r>
        <w:rPr>
          <w:rFonts w:ascii="Book Antiqua" w:hAnsi="Book Antiqua" w:cs="Arial"/>
          <w:iCs/>
          <w:sz w:val="18"/>
          <w:szCs w:val="18"/>
          <w:lang w:val="fr-BE"/>
        </w:rPr>
        <w:t xml:space="preserve"> </w:t>
      </w:r>
      <w:r>
        <w:rPr>
          <w:rFonts w:ascii="Book Antiqua" w:hAnsi="Book Antiqua" w:cs="Arial"/>
          <w:sz w:val="18"/>
          <w:szCs w:val="18"/>
          <w:lang w:val="fr-BE"/>
        </w:rPr>
        <w:t>du 24 juillet 1997 précité art. 81, 82, 89 et 90 et à la circulaire annuelle « </w:t>
      </w:r>
      <w:r>
        <w:rPr>
          <w:rFonts w:ascii="Book Antiqua" w:hAnsi="Book Antiqua" w:cs="Book Antiqua"/>
          <w:sz w:val="18"/>
          <w:szCs w:val="18"/>
          <w:lang w:val="fr-BE"/>
        </w:rPr>
        <w:t>Obligation scolaire, inscription des élèves, fréquentation scolaire, sanctions disciplinaires et gratuité ».</w:t>
      </w:r>
    </w:p>
  </w:footnote>
  <w:footnote w:id="102">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xml:space="preserve">, §3, al. 4. </w:t>
      </w:r>
    </w:p>
  </w:footnote>
  <w:footnote w:id="103">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w:t>
      </w:r>
      <w:r>
        <w:rPr>
          <w:rFonts w:ascii="Book Antiqua" w:hAnsi="Book Antiqua" w:cs="Book Antiqua"/>
          <w:sz w:val="18"/>
          <w:szCs w:val="18"/>
          <w:lang w:val="fr-BE"/>
        </w:rPr>
        <w:t>Décret du 21 novembre 2013 précité, art. 26, al. 2.</w:t>
      </w:r>
    </w:p>
  </w:footnote>
  <w:footnote w:id="104">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Pour la partie relative à l’enseignement secondaire spécialisé, voir point V.</w:t>
      </w:r>
    </w:p>
  </w:footnote>
  <w:footnote w:id="10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9, al. 3 et 4. </w:t>
      </w:r>
    </w:p>
  </w:footnote>
  <w:footnote w:id="106">
    <w:p>
      <w:pPr>
        <w:pStyle w:val="Notedebasdepage"/>
        <w:rPr>
          <w:rFonts w:ascii="Book Antiqua" w:hAnsi="Book Antiqua" w:cs="Book Antiqua"/>
          <w:sz w:val="18"/>
          <w:szCs w:val="18"/>
          <w:lang w:val="en-US"/>
        </w:rPr>
      </w:pPr>
      <w:r>
        <w:rPr>
          <w:rStyle w:val="Appelnotedebasdep"/>
          <w:rFonts w:ascii="Book Antiqua" w:hAnsi="Book Antiqua"/>
        </w:rPr>
        <w:footnoteRef/>
      </w:r>
      <w:r>
        <w:rPr>
          <w:rFonts w:ascii="Book Antiqua" w:hAnsi="Book Antiqua"/>
          <w:lang w:val="en-US"/>
        </w:rPr>
        <w:t xml:space="preserve"> </w:t>
      </w:r>
      <w:r>
        <w:rPr>
          <w:rFonts w:ascii="Book Antiqua" w:hAnsi="Book Antiqua"/>
          <w:lang w:val="en-US"/>
        </w:rPr>
        <w:tab/>
        <w:t xml:space="preserve"> </w:t>
      </w:r>
      <w:proofErr w:type="spellStart"/>
      <w:r>
        <w:rPr>
          <w:rFonts w:ascii="Book Antiqua" w:hAnsi="Book Antiqua" w:cs="Book Antiqua"/>
          <w:sz w:val="18"/>
          <w:szCs w:val="18"/>
          <w:lang w:val="en-US"/>
        </w:rPr>
        <w:t>Ibidem</w:t>
      </w:r>
      <w:proofErr w:type="spellEnd"/>
      <w:r>
        <w:rPr>
          <w:rFonts w:ascii="Book Antiqua" w:hAnsi="Book Antiqua" w:cs="Book Antiqua"/>
          <w:sz w:val="18"/>
          <w:szCs w:val="18"/>
          <w:lang w:val="en-US"/>
        </w:rPr>
        <w:t>, art. 9ter, §1er</w:t>
      </w:r>
    </w:p>
  </w:footnote>
  <w:footnote w:id="10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US"/>
        </w:rPr>
        <w:tab/>
        <w:t xml:space="preserve"> </w:t>
      </w:r>
      <w:proofErr w:type="spellStart"/>
      <w:r>
        <w:rPr>
          <w:rFonts w:ascii="Book Antiqua" w:hAnsi="Book Antiqua" w:cs="Book Antiqua"/>
          <w:sz w:val="18"/>
          <w:szCs w:val="18"/>
          <w:lang w:val="en-US"/>
        </w:rPr>
        <w:t>Ibidem</w:t>
      </w:r>
      <w:proofErr w:type="spellEnd"/>
      <w:r>
        <w:rPr>
          <w:rFonts w:ascii="Book Antiqua" w:hAnsi="Book Antiqua" w:cs="Book Antiqua"/>
          <w:sz w:val="18"/>
          <w:szCs w:val="18"/>
          <w:lang w:val="en-US"/>
        </w:rPr>
        <w:t>, art. 9, al. 1</w:t>
      </w:r>
      <w:r>
        <w:rPr>
          <w:rFonts w:ascii="Book Antiqua" w:hAnsi="Book Antiqua" w:cs="Book Antiqua"/>
          <w:sz w:val="18"/>
          <w:szCs w:val="18"/>
          <w:vertAlign w:val="superscript"/>
          <w:lang w:val="en-US"/>
        </w:rPr>
        <w:t>er</w:t>
      </w:r>
      <w:r>
        <w:rPr>
          <w:rFonts w:ascii="Book Antiqua" w:hAnsi="Book Antiqua" w:cs="Book Antiqua"/>
          <w:sz w:val="18"/>
          <w:szCs w:val="18"/>
          <w:lang w:val="en-US"/>
        </w:rPr>
        <w:t>.</w:t>
      </w:r>
      <w:r>
        <w:rPr>
          <w:lang w:val="en-US"/>
        </w:rPr>
        <w:t xml:space="preserve"> </w:t>
      </w:r>
    </w:p>
  </w:footnote>
  <w:footnote w:id="108">
    <w:p>
      <w:pPr>
        <w:pStyle w:val="Notedebasdepage"/>
        <w:rPr>
          <w:lang w:val="fr-BE"/>
        </w:rPr>
      </w:pPr>
      <w:r>
        <w:rPr>
          <w:rStyle w:val="Appelnotedebasdep"/>
          <w:rFonts w:eastAsiaTheme="majorEastAsia"/>
        </w:rPr>
        <w:footnoteRef/>
      </w:r>
      <w:r>
        <w:rPr>
          <w:lang w:val="fr-BE"/>
        </w:rPr>
        <w:t xml:space="preserve">    </w:t>
      </w:r>
      <w:r>
        <w:rPr>
          <w:rFonts w:ascii="Book Antiqua" w:hAnsi="Book Antiqua" w:cs="Book Antiqua"/>
          <w:sz w:val="18"/>
          <w:szCs w:val="18"/>
        </w:rPr>
        <w:t>Arrêté royal du 29 juin 1984 précité</w:t>
      </w:r>
      <w:r>
        <w:rPr>
          <w:rFonts w:ascii="Book Antiqua" w:hAnsi="Book Antiqua"/>
          <w:sz w:val="18"/>
          <w:szCs w:val="18"/>
          <w:lang w:val="fr-BE"/>
        </w:rPr>
        <w:t>, art. 23, § 6.</w:t>
      </w:r>
    </w:p>
  </w:footnote>
  <w:footnote w:id="109">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Arrêté royal du 29 juin 1984 précité, art. 22, §3. </w:t>
      </w:r>
    </w:p>
  </w:footnote>
  <w:footnote w:id="11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25,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11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25, §2. </w:t>
      </w:r>
    </w:p>
  </w:footnote>
  <w:footnote w:id="112">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24, §1.</w:t>
      </w:r>
      <w:r>
        <w:rPr>
          <w:rFonts w:ascii="Book Antiqua" w:hAnsi="Book Antiqua" w:cs="Book Antiqua"/>
          <w:color w:val="FF0000"/>
          <w:sz w:val="18"/>
          <w:szCs w:val="18"/>
          <w:lang w:val="de-DE"/>
        </w:rPr>
        <w:t xml:space="preserve"> </w:t>
      </w:r>
    </w:p>
  </w:footnote>
  <w:footnote w:id="113">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26, §2, 1°.  </w:t>
      </w:r>
    </w:p>
  </w:footnote>
  <w:footnote w:id="114">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rPr>
        <w:tab/>
        <w:t xml:space="preserve"> Ibidem, art. 26, §1</w:t>
      </w:r>
      <w:r>
        <w:rPr>
          <w:rFonts w:ascii="Book Antiqua" w:hAnsi="Book Antiqua" w:cs="Book Antiqua"/>
          <w:sz w:val="18"/>
          <w:vertAlign w:val="superscript"/>
        </w:rPr>
        <w:t xml:space="preserve">er </w:t>
      </w:r>
      <w:r>
        <w:rPr>
          <w:rFonts w:ascii="Book Antiqua" w:hAnsi="Book Antiqua" w:cs="Book Antiqua"/>
          <w:sz w:val="18"/>
        </w:rPr>
        <w:t xml:space="preserve"> tel que modifié par le décret du 26 mars 2009 « participant à la revalorisation de l’enseignement qualifiant par le renforcement du caractère obligatoire des épreuves de qualification en lien avec un profil de formation », en vigueur au 1</w:t>
      </w:r>
      <w:r>
        <w:rPr>
          <w:rFonts w:ascii="Book Antiqua" w:hAnsi="Book Antiqua" w:cs="Book Antiqua"/>
          <w:sz w:val="18"/>
          <w:vertAlign w:val="superscript"/>
        </w:rPr>
        <w:t>er</w:t>
      </w:r>
      <w:r>
        <w:rPr>
          <w:rFonts w:ascii="Book Antiqua" w:hAnsi="Book Antiqua" w:cs="Book Antiqua"/>
          <w:sz w:val="18"/>
        </w:rPr>
        <w:t xml:space="preserve"> septembre 2010.</w:t>
      </w:r>
    </w:p>
  </w:footnote>
  <w:footnote w:id="11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w:t>
      </w:r>
      <w:r>
        <w:rPr>
          <w:rFonts w:ascii="Book Antiqua" w:hAnsi="Book Antiqua" w:cs="Book Antiqua"/>
          <w:sz w:val="18"/>
          <w:szCs w:val="18"/>
          <w:lang w:val="fr-BE"/>
        </w:rPr>
        <w:t>Ibidem, art. 26, §</w:t>
      </w:r>
      <w:r>
        <w:rPr>
          <w:rFonts w:ascii="Book Antiqua" w:hAnsi="Book Antiqua" w:cs="Book Antiqua"/>
          <w:sz w:val="18"/>
          <w:szCs w:val="18"/>
          <w:vertAlign w:val="superscript"/>
          <w:lang w:val="fr-BE"/>
        </w:rPr>
        <w:t>2</w:t>
      </w:r>
      <w:r>
        <w:rPr>
          <w:rFonts w:ascii="Book Antiqua" w:hAnsi="Book Antiqua" w:cs="Book Antiqua"/>
          <w:sz w:val="18"/>
          <w:szCs w:val="18"/>
          <w:lang w:val="fr-BE"/>
        </w:rPr>
        <w:t xml:space="preserve">, 2°. </w:t>
      </w:r>
    </w:p>
  </w:footnote>
  <w:footnote w:id="11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9, al. 4. </w:t>
      </w:r>
    </w:p>
  </w:footnote>
  <w:footnote w:id="117">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Arrêté royal du 29 juin 1984 précité, art. 26, §5.</w:t>
      </w:r>
    </w:p>
  </w:footnote>
  <w:footnote w:id="118">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Ibidem, art. 26</w:t>
      </w:r>
      <w:r>
        <w:rPr>
          <w:rFonts w:ascii="Book Antiqua" w:hAnsi="Book Antiqua" w:cs="Book Antiqua"/>
          <w:i/>
          <w:sz w:val="18"/>
          <w:szCs w:val="18"/>
        </w:rPr>
        <w:t>bis</w:t>
      </w:r>
      <w:r>
        <w:rPr>
          <w:rFonts w:ascii="Book Antiqua" w:hAnsi="Book Antiqua" w:cs="Book Antiqua"/>
          <w:sz w:val="18"/>
          <w:szCs w:val="18"/>
        </w:rPr>
        <w:t>.</w:t>
      </w:r>
    </w:p>
  </w:footnote>
  <w:footnote w:id="119">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w:t>
      </w:r>
      <w:r>
        <w:rPr>
          <w:rFonts w:ascii="Book Antiqua" w:hAnsi="Book Antiqua" w:cs="Book Antiqua"/>
          <w:sz w:val="18"/>
          <w:szCs w:val="18"/>
          <w:lang w:val="fr-BE"/>
        </w:rPr>
        <w:t>Ibidem.</w:t>
      </w:r>
    </w:p>
  </w:footnote>
  <w:footnote w:id="12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10, al. 3. </w:t>
      </w:r>
    </w:p>
  </w:footnote>
  <w:footnote w:id="12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2. </w:t>
      </w:r>
    </w:p>
  </w:footnote>
  <w:footnote w:id="12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4.</w:t>
      </w:r>
    </w:p>
  </w:footnote>
  <w:footnote w:id="12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11.</w:t>
      </w:r>
    </w:p>
  </w:footnote>
  <w:footnote w:id="124">
    <w:p>
      <w:pPr>
        <w:pStyle w:val="Notedebasdepage"/>
        <w:rPr>
          <w:lang w:val="en-US"/>
        </w:rPr>
      </w:pPr>
      <w:r>
        <w:rPr>
          <w:rStyle w:val="Appelnotedebasdep"/>
          <w:rFonts w:ascii="Book Antiqua" w:hAnsi="Book Antiqua" w:cs="Courier New"/>
          <w:sz w:val="18"/>
          <w:szCs w:val="18"/>
        </w:rPr>
        <w:footnoteRef/>
      </w:r>
      <w:r>
        <w:rPr>
          <w:lang w:val="en-GB"/>
        </w:rPr>
        <w:tab/>
      </w:r>
      <w:proofErr w:type="spellStart"/>
      <w:r>
        <w:rPr>
          <w:rFonts w:ascii="Book Antiqua" w:hAnsi="Book Antiqua"/>
          <w:sz w:val="18"/>
          <w:szCs w:val="18"/>
          <w:lang w:val="en-GB"/>
        </w:rPr>
        <w:t>Ibidem</w:t>
      </w:r>
      <w:proofErr w:type="spellEnd"/>
      <w:r>
        <w:rPr>
          <w:rFonts w:ascii="Book Antiqua" w:hAnsi="Book Antiqua"/>
          <w:sz w:val="18"/>
          <w:szCs w:val="18"/>
          <w:lang w:val="en-GB"/>
        </w:rPr>
        <w:t xml:space="preserve">, art. 9bis, al. 1er. </w:t>
      </w:r>
    </w:p>
  </w:footnote>
  <w:footnote w:id="12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12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3.</w:t>
      </w:r>
    </w:p>
  </w:footnote>
  <w:footnote w:id="12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2. </w:t>
      </w:r>
    </w:p>
  </w:footnote>
  <w:footnote w:id="12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4. </w:t>
      </w:r>
    </w:p>
  </w:footnote>
  <w:footnote w:id="129">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11. </w:t>
      </w:r>
    </w:p>
  </w:footnote>
  <w:footnote w:id="130">
    <w:p>
      <w:pPr>
        <w:pStyle w:val="Notedebasdepage"/>
        <w:spacing w:after="60"/>
        <w:ind w:left="709" w:hanging="709"/>
      </w:pPr>
      <w:r>
        <w:rPr>
          <w:rStyle w:val="Caractresdenotedebasdepage"/>
          <w:rFonts w:ascii="Book Antiqua" w:hAnsi="Book Antiqua" w:cs="Courier New"/>
        </w:rPr>
        <w:footnoteRef/>
      </w:r>
      <w:r>
        <w:rPr>
          <w:rFonts w:ascii="Book Antiqua" w:hAnsi="Book Antiqua" w:cs="Book Antiqua"/>
          <w:sz w:val="18"/>
          <w:szCs w:val="18"/>
        </w:rPr>
        <w:tab/>
        <w:t xml:space="preserve"> Circulaire B11/-/GVL/dl/25.05.99/24-159 du 27 mai 1999 « Certificat relatif aux connaissances de gestion de base ».</w:t>
      </w:r>
    </w:p>
  </w:footnote>
  <w:footnote w:id="131">
    <w:p>
      <w:pPr>
        <w:pStyle w:val="Notedebasdepage"/>
        <w:spacing w:after="60"/>
        <w:rPr>
          <w:lang w:val="en-US"/>
        </w:rPr>
      </w:pPr>
      <w:r>
        <w:rPr>
          <w:rStyle w:val="Caractresdenotedebasdepage"/>
          <w:rFonts w:ascii="Century Schoolbook" w:hAnsi="Century Schoolbook" w:cs="Courier New"/>
        </w:rPr>
        <w:footnoteRef/>
      </w:r>
      <w:r>
        <w:rPr>
          <w:rFonts w:ascii="Book Antiqua" w:hAnsi="Book Antiqua" w:cs="Book Antiqua"/>
          <w:sz w:val="18"/>
          <w:szCs w:val="18"/>
          <w:lang w:val="en-GB"/>
        </w:rPr>
        <w:tab/>
        <w:t xml:space="preserve"> </w:t>
      </w:r>
      <w:proofErr w:type="spellStart"/>
      <w:r>
        <w:rPr>
          <w:rFonts w:ascii="Book Antiqua" w:hAnsi="Book Antiqua" w:cs="Book Antiqua"/>
          <w:sz w:val="18"/>
          <w:szCs w:val="18"/>
          <w:lang w:val="en-GB"/>
        </w:rPr>
        <w:t>Ibidem</w:t>
      </w:r>
      <w:proofErr w:type="spellEnd"/>
      <w:r>
        <w:rPr>
          <w:rFonts w:ascii="Book Antiqua" w:hAnsi="Book Antiqua" w:cs="Book Antiqua"/>
          <w:sz w:val="18"/>
          <w:szCs w:val="18"/>
          <w:lang w:val="en-GB"/>
        </w:rPr>
        <w:t>, art. 9, al. 3.</w:t>
      </w:r>
    </w:p>
  </w:footnote>
  <w:footnote w:id="132">
    <w:p>
      <w:pPr>
        <w:pStyle w:val="Notedebasdepage"/>
        <w:rPr>
          <w:lang w:val="en-US"/>
        </w:rPr>
      </w:pPr>
      <w:r>
        <w:rPr>
          <w:rStyle w:val="Caractresdenotedebasdepage"/>
          <w:rFonts w:ascii="Century Schoolbook" w:hAnsi="Century Schoolbook" w:cs="Courier New"/>
        </w:rPr>
        <w:footnoteRef/>
      </w:r>
      <w:r>
        <w:rPr>
          <w:rFonts w:ascii="Book Antiqua" w:hAnsi="Book Antiqua" w:cs="Times New Roman"/>
          <w:sz w:val="18"/>
          <w:szCs w:val="18"/>
          <w:lang w:val="en-GB"/>
        </w:rPr>
        <w:tab/>
        <w:t xml:space="preserve"> </w:t>
      </w:r>
      <w:proofErr w:type="spellStart"/>
      <w:r>
        <w:rPr>
          <w:rFonts w:ascii="Book Antiqua" w:hAnsi="Book Antiqua" w:cs="Times New Roman"/>
          <w:sz w:val="18"/>
          <w:szCs w:val="18"/>
          <w:lang w:val="en-GB"/>
        </w:rPr>
        <w:t>Ibidem</w:t>
      </w:r>
      <w:proofErr w:type="spellEnd"/>
      <w:r>
        <w:rPr>
          <w:rFonts w:ascii="Book Antiqua" w:hAnsi="Book Antiqua" w:cs="Times New Roman"/>
          <w:sz w:val="18"/>
          <w:szCs w:val="18"/>
          <w:lang w:val="en-GB"/>
        </w:rPr>
        <w:t>, art. 9, al. 4.</w:t>
      </w:r>
    </w:p>
  </w:footnote>
  <w:footnote w:id="133">
    <w:p>
      <w:pPr>
        <w:pStyle w:val="Notedebasdepage"/>
        <w:spacing w:after="60"/>
        <w:ind w:left="708" w:hanging="708"/>
        <w:jc w:val="both"/>
        <w:rPr>
          <w:rFonts w:ascii="Book Antiqua" w:hAnsi="Book Antiqua" w:cs="Book Antiqua"/>
          <w:sz w:val="18"/>
          <w:szCs w:val="18"/>
        </w:rPr>
      </w:pPr>
      <w:r>
        <w:rPr>
          <w:rFonts w:ascii="Book Antiqua" w:hAnsi="Book Antiqua" w:cs="Book Antiqua"/>
          <w:sz w:val="18"/>
          <w:szCs w:val="18"/>
        </w:rPr>
        <w:footnoteRef/>
      </w:r>
      <w:r>
        <w:rPr>
          <w:rFonts w:ascii="Book Antiqua" w:hAnsi="Book Antiqua" w:cs="Book Antiqua"/>
          <w:sz w:val="18"/>
          <w:szCs w:val="18"/>
        </w:rPr>
        <w:t xml:space="preserve"> </w:t>
      </w:r>
      <w:r>
        <w:rPr>
          <w:rFonts w:ascii="Book Antiqua" w:hAnsi="Book Antiqua" w:cs="Book Antiqua"/>
          <w:sz w:val="18"/>
          <w:szCs w:val="18"/>
        </w:rPr>
        <w:tab/>
        <w:t xml:space="preserve">Décret du 14 juin 2018 </w:t>
      </w:r>
      <w:r>
        <w:rPr>
          <w:rFonts w:ascii="Book Antiqua" w:hAnsi="Book Antiqua" w:cs="Book Antiqua"/>
          <w:i/>
          <w:sz w:val="18"/>
          <w:szCs w:val="18"/>
        </w:rPr>
        <w:t>instituant un enseignement expérimental aux 2e et 3 degrés de l’enseignement secondaire qualifiant en ce qui concerne la certification par unités d’acquis d’apprentissage (CPU), et aux 2e et 3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r>
        <w:rPr>
          <w:rFonts w:ascii="Book Antiqua" w:hAnsi="Book Antiqua" w:cs="Book Antiqua"/>
          <w:sz w:val="18"/>
          <w:szCs w:val="18"/>
        </w:rPr>
        <w:t>.</w:t>
      </w:r>
    </w:p>
  </w:footnote>
  <w:footnote w:id="134">
    <w:p>
      <w:pPr>
        <w:pStyle w:val="Notedebasdepage"/>
        <w:rPr>
          <w:rFonts w:ascii="Book Antiqua" w:hAnsi="Book Antiqua"/>
          <w:sz w:val="18"/>
          <w:szCs w:val="18"/>
          <w:lang w:val="fr-BE"/>
        </w:rPr>
      </w:pPr>
      <w:r>
        <w:rPr>
          <w:rStyle w:val="Appelnotedebasdep"/>
          <w:rFonts w:ascii="Book Antiqua" w:hAnsi="Book Antiqua"/>
        </w:rPr>
        <w:footnoteRef/>
      </w:r>
      <w:r>
        <w:rPr>
          <w:rFonts w:ascii="Book Antiqua" w:hAnsi="Book Antiqua"/>
        </w:rPr>
        <w:t xml:space="preserve"> </w:t>
      </w:r>
      <w:r>
        <w:rPr>
          <w:rFonts w:ascii="Book Antiqua" w:hAnsi="Book Antiqua"/>
          <w:lang w:val="fr-BE"/>
        </w:rPr>
        <w:tab/>
      </w:r>
      <w:r>
        <w:rPr>
          <w:rFonts w:ascii="Book Antiqua" w:hAnsi="Book Antiqua"/>
          <w:sz w:val="18"/>
          <w:szCs w:val="18"/>
          <w:lang w:val="fr-BE"/>
        </w:rPr>
        <w:t>Art 21ter, §3, al.2 de l’Arrêté royal du 29 juin 1984 relatif à l’organisation de l’enseignement secondaire.</w:t>
      </w:r>
    </w:p>
  </w:footnote>
  <w:footnote w:id="135">
    <w:p>
      <w:pPr>
        <w:pStyle w:val="Notedebasdepage"/>
        <w:spacing w:after="60"/>
        <w:ind w:left="708" w:hanging="708"/>
        <w:jc w:val="both"/>
        <w:rPr>
          <w:rFonts w:ascii="Book Antiqua" w:hAnsi="Book Antiqua" w:cs="Book Antiqua"/>
          <w:sz w:val="18"/>
          <w:szCs w:val="18"/>
        </w:rPr>
      </w:pPr>
      <w:r>
        <w:rPr>
          <w:rFonts w:ascii="Book Antiqua" w:hAnsi="Book Antiqua" w:cs="Book Antiqua"/>
          <w:sz w:val="18"/>
          <w:szCs w:val="18"/>
        </w:rPr>
        <w:footnoteRef/>
      </w:r>
      <w:r>
        <w:rPr>
          <w:rFonts w:ascii="Book Antiqua" w:hAnsi="Book Antiqua" w:cs="Book Antiqua"/>
          <w:sz w:val="18"/>
          <w:szCs w:val="18"/>
        </w:rPr>
        <w:t xml:space="preserve"> </w:t>
      </w:r>
      <w:r>
        <w:rPr>
          <w:rFonts w:ascii="Book Antiqua" w:hAnsi="Book Antiqua" w:cs="Book Antiqua"/>
          <w:sz w:val="18"/>
          <w:szCs w:val="18"/>
        </w:rPr>
        <w:tab/>
        <w:t>2 arrêtés du Gouvernement de la Communauté française du 21 février 2018 définissant ces profils de certification</w:t>
      </w:r>
    </w:p>
  </w:footnote>
  <w:footnote w:id="136">
    <w:p>
      <w:pPr>
        <w:pStyle w:val="Notedebasdepage"/>
        <w:spacing w:after="60"/>
        <w:ind w:left="708" w:hanging="708"/>
        <w:jc w:val="both"/>
        <w:rPr>
          <w:rFonts w:ascii="Book Antiqua" w:hAnsi="Book Antiqua" w:cs="Book Antiqua"/>
          <w:sz w:val="18"/>
          <w:szCs w:val="18"/>
        </w:rPr>
      </w:pPr>
      <w:r>
        <w:rPr>
          <w:rFonts w:ascii="Book Antiqua" w:hAnsi="Book Antiqua" w:cs="Book Antiqua"/>
          <w:sz w:val="18"/>
          <w:szCs w:val="18"/>
        </w:rPr>
        <w:footnoteRef/>
      </w:r>
      <w:r>
        <w:rPr>
          <w:rFonts w:ascii="Book Antiqua" w:hAnsi="Book Antiqua" w:cs="Book Antiqua"/>
          <w:sz w:val="18"/>
          <w:szCs w:val="18"/>
        </w:rPr>
        <w:t xml:space="preserve"> </w:t>
      </w:r>
      <w:r>
        <w:rPr>
          <w:rFonts w:ascii="Book Antiqua" w:hAnsi="Book Antiqua" w:cs="Book Antiqua"/>
          <w:sz w:val="18"/>
          <w:szCs w:val="18"/>
        </w:rPr>
        <w:tab/>
        <w:t xml:space="preserve">Décret du 14 juin 2018 </w:t>
      </w:r>
      <w:r>
        <w:rPr>
          <w:rFonts w:ascii="Book Antiqua" w:hAnsi="Book Antiqua" w:cs="Book Antiqua"/>
          <w:i/>
          <w:sz w:val="18"/>
          <w:szCs w:val="18"/>
        </w:rPr>
        <w:t>instituant un enseignement expérimental aux 2e et 3 degrés de l’enseignement secondaire qualifiant en ce qui concerne la certification par unités d’acquis d’apprentissage (CPU), et aux 2e et 3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r>
        <w:rPr>
          <w:rFonts w:ascii="Book Antiqua" w:hAnsi="Book Antiqua" w:cs="Book Antiqua"/>
          <w:sz w:val="18"/>
          <w:szCs w:val="18"/>
        </w:rPr>
        <w:t>.</w:t>
      </w:r>
    </w:p>
  </w:footnote>
  <w:footnote w:id="137">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quater</w:t>
      </w:r>
      <w:r>
        <w:rPr>
          <w:rFonts w:ascii="Book Antiqua" w:hAnsi="Book Antiqua" w:cs="Book Antiqua"/>
          <w:sz w:val="18"/>
          <w:szCs w:val="18"/>
        </w:rPr>
        <w:t xml:space="preserve">, §2. </w:t>
      </w:r>
    </w:p>
  </w:footnote>
  <w:footnote w:id="13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§2, al. 2.</w:t>
      </w:r>
    </w:p>
  </w:footnote>
  <w:footnote w:id="13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xml:space="preserve">, §2, al. 3. </w:t>
      </w:r>
    </w:p>
  </w:footnote>
  <w:footnote w:id="14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§2, al. 3.</w:t>
      </w:r>
    </w:p>
  </w:footnote>
  <w:footnote w:id="14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bis</w:t>
      </w:r>
      <w:r>
        <w:rPr>
          <w:rFonts w:ascii="Book Antiqua" w:hAnsi="Book Antiqua" w:cs="Book Antiqua"/>
          <w:sz w:val="18"/>
          <w:szCs w:val="18"/>
          <w:lang w:val="de-DE"/>
        </w:rPr>
        <w:t xml:space="preserve">, §4, al. 2. </w:t>
      </w:r>
    </w:p>
  </w:footnote>
  <w:footnote w:id="14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14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xml:space="preserve">, §2, al. 5. </w:t>
      </w:r>
    </w:p>
  </w:footnote>
  <w:footnote w:id="14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quinquies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4. </w:t>
      </w:r>
    </w:p>
  </w:footnote>
  <w:footnote w:id="14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quinquies</w:t>
      </w:r>
      <w:r>
        <w:rPr>
          <w:rFonts w:ascii="Book Antiqua" w:hAnsi="Book Antiqua" w:cs="Book Antiqua"/>
          <w:sz w:val="18"/>
          <w:szCs w:val="18"/>
          <w:lang w:val="de-DE"/>
        </w:rPr>
        <w:t>, §2, al. 1.</w:t>
      </w:r>
    </w:p>
  </w:footnote>
  <w:footnote w:id="14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14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bis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14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Idem.</w:t>
      </w:r>
    </w:p>
  </w:footnote>
  <w:footnote w:id="14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2. </w:t>
      </w:r>
    </w:p>
  </w:footnote>
  <w:footnote w:id="15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al. 4.</w:t>
      </w:r>
    </w:p>
  </w:footnote>
  <w:footnote w:id="15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§2, al. 4.</w:t>
      </w:r>
    </w:p>
  </w:footnote>
  <w:footnote w:id="15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24-29.</w:t>
      </w:r>
    </w:p>
  </w:footnote>
  <w:footnote w:id="15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w:t>
      </w:r>
      <w:proofErr w:type="spellStart"/>
      <w:r>
        <w:rPr>
          <w:rFonts w:ascii="Book Antiqua" w:hAnsi="Book Antiqua" w:cs="Book Antiqua"/>
          <w:sz w:val="18"/>
          <w:szCs w:val="18"/>
          <w:lang w:val="en-GB"/>
        </w:rPr>
        <w:t>Ibidem</w:t>
      </w:r>
      <w:proofErr w:type="spellEnd"/>
      <w:r>
        <w:rPr>
          <w:rFonts w:ascii="Book Antiqua" w:hAnsi="Book Antiqua" w:cs="Book Antiqua"/>
          <w:sz w:val="18"/>
          <w:szCs w:val="18"/>
          <w:lang w:val="en-GB"/>
        </w:rPr>
        <w:t>, art. 18, al.3.</w:t>
      </w:r>
    </w:p>
  </w:footnote>
  <w:footnote w:id="15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bis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15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bis</w:t>
      </w:r>
      <w:r>
        <w:rPr>
          <w:rFonts w:ascii="Book Antiqua" w:hAnsi="Book Antiqua" w:cs="Book Antiqua"/>
          <w:sz w:val="18"/>
          <w:szCs w:val="18"/>
          <w:lang w:val="de-DE"/>
        </w:rPr>
        <w:t xml:space="preserve">, §3. </w:t>
      </w:r>
    </w:p>
  </w:footnote>
  <w:footnote w:id="15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bis</w:t>
      </w:r>
      <w:r>
        <w:rPr>
          <w:rFonts w:ascii="Book Antiqua" w:hAnsi="Book Antiqua" w:cs="Book Antiqua"/>
          <w:sz w:val="18"/>
          <w:szCs w:val="18"/>
          <w:lang w:val="de-DE"/>
        </w:rPr>
        <w:t>, §2.</w:t>
      </w:r>
    </w:p>
  </w:footnote>
  <w:footnote w:id="15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 xml:space="preserve">bis, </w:t>
      </w:r>
      <w:r>
        <w:rPr>
          <w:rFonts w:ascii="Book Antiqua" w:hAnsi="Book Antiqua" w:cs="Book Antiqua"/>
          <w:sz w:val="18"/>
          <w:szCs w:val="18"/>
          <w:lang w:val="de-DE"/>
        </w:rPr>
        <w:t>§4</w:t>
      </w:r>
      <w:r>
        <w:rPr>
          <w:rFonts w:ascii="Book Antiqua" w:hAnsi="Book Antiqua" w:cs="Book Antiqua"/>
          <w:i/>
          <w:sz w:val="18"/>
          <w:szCs w:val="18"/>
          <w:lang w:val="de-DE"/>
        </w:rPr>
        <w:t>.</w:t>
      </w:r>
    </w:p>
  </w:footnote>
  <w:footnote w:id="158">
    <w:p>
      <w:pPr>
        <w:pStyle w:val="Notedebasdepage"/>
        <w:spacing w:after="4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ter</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al. 2.</w:t>
      </w:r>
    </w:p>
  </w:footnote>
  <w:footnote w:id="159">
    <w:p>
      <w:pPr>
        <w:pStyle w:val="Notedebasdepage"/>
        <w:spacing w:after="4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Arrêté de l’Exécutif de la Communauté française du 31 août 1992 exécutant le décret du 29 juillet 1992 portant organisation de l’enseignement secondaire de plein exercice, art. 21.</w:t>
      </w:r>
    </w:p>
  </w:footnote>
  <w:footnote w:id="160">
    <w:p>
      <w:pPr>
        <w:pStyle w:val="Notedebasdepage"/>
        <w:spacing w:after="40"/>
        <w:jc w:val="both"/>
      </w:pPr>
      <w:r>
        <w:rPr>
          <w:rStyle w:val="Caractresdenotedebasdepage"/>
          <w:rFonts w:ascii="Book Antiqua" w:hAnsi="Book Antiqua" w:cs="Courier New"/>
        </w:rPr>
        <w:footnoteRef/>
      </w:r>
      <w:r>
        <w:rPr>
          <w:rFonts w:ascii="Book Antiqua" w:hAnsi="Book Antiqua" w:cs="Book Antiqua"/>
          <w:sz w:val="18"/>
          <w:szCs w:val="18"/>
        </w:rPr>
        <w:tab/>
        <w:t xml:space="preserve"> Loi du 30 juillet 1963 concernant le régime linguistique dans l'enseignement, art. 11. </w:t>
      </w:r>
    </w:p>
  </w:footnote>
  <w:footnote w:id="161">
    <w:p>
      <w:pPr>
        <w:pStyle w:val="Notedebasdepage"/>
        <w:spacing w:after="4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bis</w:t>
      </w:r>
      <w:r>
        <w:rPr>
          <w:rFonts w:ascii="Book Antiqua" w:hAnsi="Book Antiqua" w:cs="Book Antiqua"/>
          <w:sz w:val="18"/>
          <w:szCs w:val="18"/>
        </w:rPr>
        <w:t xml:space="preserve">, §3. </w:t>
      </w:r>
    </w:p>
  </w:footnote>
  <w:footnote w:id="162">
    <w:p>
      <w:pPr>
        <w:pStyle w:val="Notedebasdepage"/>
        <w:spacing w:after="4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2.</w:t>
      </w:r>
    </w:p>
  </w:footnote>
  <w:footnote w:id="163">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w:t>
      </w:r>
      <w:proofErr w:type="spellStart"/>
      <w:r>
        <w:rPr>
          <w:rFonts w:ascii="Book Antiqua" w:hAnsi="Book Antiqua" w:cs="Book Antiqua"/>
          <w:sz w:val="18"/>
          <w:szCs w:val="18"/>
          <w:lang w:val="en-GB"/>
        </w:rPr>
        <w:t>Ibidem</w:t>
      </w:r>
      <w:proofErr w:type="spellEnd"/>
      <w:r>
        <w:rPr>
          <w:rFonts w:ascii="Book Antiqua" w:hAnsi="Book Antiqua" w:cs="Book Antiqua"/>
          <w:sz w:val="18"/>
          <w:szCs w:val="18"/>
          <w:lang w:val="en-GB"/>
        </w:rPr>
        <w:t>, art. 15, §1</w:t>
      </w:r>
      <w:r>
        <w:rPr>
          <w:rFonts w:ascii="Book Antiqua" w:hAnsi="Book Antiqua" w:cs="Book Antiqua"/>
          <w:sz w:val="18"/>
          <w:szCs w:val="18"/>
          <w:vertAlign w:val="superscript"/>
          <w:lang w:val="en-GB"/>
        </w:rPr>
        <w:t>er</w:t>
      </w:r>
      <w:r>
        <w:rPr>
          <w:rFonts w:ascii="Book Antiqua" w:hAnsi="Book Antiqua" w:cs="Book Antiqua"/>
          <w:sz w:val="18"/>
          <w:szCs w:val="18"/>
          <w:lang w:val="en-GB"/>
        </w:rPr>
        <w:t>, al. 3.</w:t>
      </w:r>
    </w:p>
  </w:footnote>
  <w:footnote w:id="164">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al. 4.</w:t>
      </w:r>
    </w:p>
  </w:footnote>
  <w:footnote w:id="165">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es-ES_tradnl"/>
        </w:rPr>
        <w:tab/>
        <w:t xml:space="preserve"> </w:t>
      </w:r>
      <w:proofErr w:type="spellStart"/>
      <w:r>
        <w:rPr>
          <w:rFonts w:ascii="Book Antiqua" w:hAnsi="Book Antiqua" w:cs="Book Antiqua"/>
          <w:sz w:val="18"/>
          <w:szCs w:val="18"/>
          <w:lang w:val="es-ES_tradnl"/>
        </w:rPr>
        <w:t>Ibidem</w:t>
      </w:r>
      <w:proofErr w:type="spellEnd"/>
      <w:r>
        <w:rPr>
          <w:rFonts w:ascii="Book Antiqua" w:hAnsi="Book Antiqua" w:cs="Book Antiqua"/>
          <w:sz w:val="18"/>
          <w:szCs w:val="18"/>
          <w:lang w:val="es-ES_tradnl"/>
        </w:rPr>
        <w:t>, art. 2</w:t>
      </w:r>
      <w:r>
        <w:rPr>
          <w:rFonts w:ascii="Book Antiqua" w:hAnsi="Book Antiqua" w:cs="Book Antiqua"/>
          <w:i/>
          <w:sz w:val="18"/>
          <w:szCs w:val="18"/>
          <w:lang w:val="es-ES_tradnl"/>
        </w:rPr>
        <w:t>quinquies</w:t>
      </w:r>
      <w:r>
        <w:rPr>
          <w:rFonts w:ascii="Book Antiqua" w:hAnsi="Book Antiqua" w:cs="Book Antiqua"/>
          <w:sz w:val="18"/>
          <w:szCs w:val="18"/>
          <w:lang w:val="es-ES_tradnl"/>
        </w:rPr>
        <w:t xml:space="preserve">, §2. </w:t>
      </w:r>
    </w:p>
  </w:footnote>
  <w:footnote w:id="166">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Ibidem,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xml:space="preserve">, al. 2. </w:t>
      </w:r>
    </w:p>
  </w:footnote>
  <w:footnote w:id="167">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29 juillet 1992 portant organisation de l’enseignement secondaire de plein exercice, art. 25, al. 1, 1°.</w:t>
      </w:r>
    </w:p>
  </w:footnote>
  <w:footnote w:id="16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25, al. 3. </w:t>
      </w:r>
    </w:p>
  </w:footnote>
  <w:footnote w:id="16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25, al. 4. </w:t>
      </w:r>
    </w:p>
  </w:footnote>
  <w:footnote w:id="17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al. 2.</w:t>
      </w:r>
    </w:p>
  </w:footnote>
  <w:footnote w:id="171">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 xml:space="preserve">        Pour ces normes, consulter le tome 1 des Directives pour l’enseignement secondaire ordinaire de plein exercice – Organisation, structures, encadrement » pour l’année scolaire 2018-2019.</w:t>
      </w:r>
    </w:p>
  </w:footnote>
  <w:footnote w:id="172">
    <w:p>
      <w:pPr>
        <w:pStyle w:val="Corpsdetexte"/>
        <w:ind w:left="709" w:hanging="709"/>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t xml:space="preserve">Arrêté du Gouvernement de la Communauté française du 15 mars 1993 </w:t>
      </w:r>
      <w:r>
        <w:rPr>
          <w:rFonts w:ascii="Book Antiqua" w:hAnsi="Book Antiqua"/>
          <w:i/>
          <w:sz w:val="18"/>
          <w:szCs w:val="18"/>
        </w:rPr>
        <w:t xml:space="preserve">fixant les obligations de concertation entre établissements de même caractère dans l'enseignement secondaire de plein exercice, § 3, Moniteur belge, 25 novembre 2014,article 24, §3. </w:t>
      </w:r>
    </w:p>
  </w:footnote>
  <w:footnote w:id="173">
    <w:p>
      <w:pPr>
        <w:pStyle w:val="Notedebasdepage"/>
        <w:spacing w:after="60"/>
        <w:jc w:val="both"/>
      </w:pPr>
      <w:r>
        <w:rPr>
          <w:rStyle w:val="Appelnotedebasdep"/>
          <w:sz w:val="18"/>
          <w:szCs w:val="18"/>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w:t>
      </w:r>
    </w:p>
  </w:footnote>
  <w:footnote w:id="174">
    <w:p>
      <w:pPr>
        <w:pStyle w:val="Notedebasdepage"/>
        <w:spacing w:after="60"/>
        <w:jc w:val="both"/>
      </w:pPr>
      <w:r>
        <w:rPr>
          <w:rStyle w:val="Caractresdenotedebasdepage"/>
          <w:rFonts w:ascii="Times New Roman" w:hAnsi="Times New Roman" w:cs="Courier New"/>
        </w:rPr>
        <w:footnoteRef/>
      </w:r>
      <w:r>
        <w:rPr>
          <w:rFonts w:ascii="Book Antiqua" w:hAnsi="Book Antiqua" w:cs="Book Antiqua"/>
          <w:sz w:val="18"/>
          <w:szCs w:val="18"/>
        </w:rPr>
        <w:tab/>
        <w:t xml:space="preserve"> L’intention de programmer, acceptée par le Conseil de direction et validée par le Comité de concertation, fait accéder à la qualité de coopérant.</w:t>
      </w:r>
    </w:p>
  </w:footnote>
  <w:footnote w:id="175">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r>
        <w:rPr>
          <w:rFonts w:ascii="Book Antiqua" w:hAnsi="Book Antiqua" w:cs="Book Antiqua"/>
          <w:sz w:val="18"/>
          <w:szCs w:val="18"/>
        </w:rPr>
        <w:t>Décret du 3 juillet 1991 précité</w:t>
      </w:r>
      <w:r>
        <w:rPr>
          <w:rFonts w:ascii="Book Antiqua" w:hAnsi="Book Antiqua" w:cs="Book Antiqua"/>
          <w:sz w:val="18"/>
          <w:szCs w:val="18"/>
          <w:lang w:val="de-DE"/>
        </w:rPr>
        <w:t>, art. 2</w:t>
      </w:r>
      <w:r>
        <w:rPr>
          <w:rFonts w:ascii="Book Antiqua" w:hAnsi="Book Antiqua" w:cs="Book Antiqua"/>
          <w:i/>
          <w:sz w:val="18"/>
          <w:szCs w:val="18"/>
          <w:lang w:val="de-DE"/>
        </w:rPr>
        <w:t>quinquies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176">
    <w:p>
      <w:pPr>
        <w:pStyle w:val="Notedebasdepage"/>
      </w:pPr>
      <w:r>
        <w:rPr>
          <w:rStyle w:val="Caractresdenotedebasdepage"/>
          <w:rFonts w:ascii="Book Antiqua" w:hAnsi="Book Antiqua" w:cs="Courier New"/>
        </w:rPr>
        <w:footnoteRef/>
      </w:r>
      <w:r>
        <w:rPr>
          <w:rFonts w:ascii="Book Antiqua" w:hAnsi="Book Antiqua" w:cs="Book Antiqua"/>
          <w:sz w:val="18"/>
          <w:szCs w:val="18"/>
        </w:rPr>
        <w:tab/>
        <w:t xml:space="preserve">Idem. </w:t>
      </w:r>
    </w:p>
  </w:footnote>
  <w:footnote w:id="177">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Idem, tel que modifié par le décret du 24 mai 2017 précité.</w:t>
      </w:r>
    </w:p>
  </w:footnote>
  <w:footnote w:id="178">
    <w:p>
      <w:pPr>
        <w:pStyle w:val="Notedebasdepage"/>
        <w:rPr>
          <w:rFonts w:ascii="Book Antiqua" w:hAnsi="Book Antiqua"/>
          <w:sz w:val="18"/>
          <w:szCs w:val="18"/>
          <w:lang w:val="fr-BE"/>
        </w:rPr>
      </w:pPr>
      <w:r>
        <w:rPr>
          <w:rStyle w:val="Appelnotedebasdep"/>
        </w:rPr>
        <w:footnoteRef/>
      </w:r>
      <w:r>
        <w:t xml:space="preserve"> </w:t>
      </w:r>
      <w:r>
        <w:rPr>
          <w:lang w:val="fr-BE"/>
        </w:rPr>
        <w:tab/>
      </w:r>
      <w:r>
        <w:rPr>
          <w:rFonts w:ascii="Book Antiqua" w:hAnsi="Book Antiqua"/>
          <w:sz w:val="18"/>
          <w:szCs w:val="18"/>
          <w:lang w:val="fr-BE"/>
        </w:rPr>
        <w:t>Décret du 3 juillet 1991 précité, article 2quinquies. - § 1er</w:t>
      </w:r>
    </w:p>
  </w:footnote>
  <w:footnote w:id="179">
    <w:p>
      <w:pPr>
        <w:pStyle w:val="Notedebasdepage"/>
        <w:ind w:left="708" w:hanging="708"/>
        <w:jc w:val="both"/>
      </w:pPr>
      <w:r>
        <w:rPr>
          <w:rStyle w:val="Caractresdenotedebasdepage"/>
          <w:rFonts w:ascii="Book Antiqua" w:hAnsi="Book Antiqua" w:cs="Courier New"/>
        </w:rPr>
        <w:footnoteRef/>
      </w:r>
      <w:r>
        <w:rPr>
          <w:rFonts w:ascii="Book Antiqua" w:hAnsi="Book Antiqua" w:cs="Book Antiqua"/>
          <w:sz w:val="18"/>
          <w:szCs w:val="18"/>
        </w:rPr>
        <w:tab/>
        <w:t>L’intention d’organiser par délégation, acceptée par le Conseil de direction, fait accéder à la qualité de coopérant.</w:t>
      </w:r>
    </w:p>
  </w:footnote>
  <w:footnote w:id="180">
    <w:p>
      <w:pPr>
        <w:pStyle w:val="Notedebasdepage"/>
        <w:jc w:val="both"/>
      </w:pPr>
      <w:r>
        <w:rPr>
          <w:rStyle w:val="Caractresdenotedebasdepage"/>
          <w:rFonts w:ascii="Book Antiqua" w:hAnsi="Book Antiqua" w:cs="Courier New"/>
          <w:sz w:val="18"/>
          <w:szCs w:val="18"/>
        </w:rPr>
        <w:footnoteRef/>
      </w:r>
      <w:r>
        <w:rPr>
          <w:rFonts w:ascii="Book Antiqua" w:hAnsi="Book Antiqua" w:cs="Book Antiqua"/>
          <w:sz w:val="18"/>
          <w:szCs w:val="18"/>
          <w:lang w:val="es-ES_tradnl"/>
        </w:rPr>
        <w:tab/>
        <w:t xml:space="preserve"> </w:t>
      </w:r>
      <w:proofErr w:type="spellStart"/>
      <w:r>
        <w:rPr>
          <w:rFonts w:ascii="Book Antiqua" w:hAnsi="Book Antiqua" w:cs="Book Antiqua"/>
          <w:sz w:val="18"/>
          <w:szCs w:val="18"/>
          <w:lang w:val="es-ES_tradnl"/>
        </w:rPr>
        <w:t>Ibidem</w:t>
      </w:r>
      <w:proofErr w:type="spellEnd"/>
      <w:r>
        <w:rPr>
          <w:rFonts w:ascii="Book Antiqua" w:hAnsi="Book Antiqua" w:cs="Book Antiqua"/>
          <w:sz w:val="18"/>
          <w:szCs w:val="18"/>
          <w:lang w:val="es-ES_tradnl"/>
        </w:rPr>
        <w:t>, art.2</w:t>
      </w:r>
      <w:r>
        <w:rPr>
          <w:rFonts w:ascii="Book Antiqua" w:hAnsi="Book Antiqua" w:cs="Book Antiqua"/>
          <w:i/>
          <w:sz w:val="18"/>
          <w:szCs w:val="18"/>
          <w:lang w:val="es-ES_tradnl"/>
        </w:rPr>
        <w:t>quinquies</w:t>
      </w:r>
      <w:r>
        <w:rPr>
          <w:rFonts w:ascii="Book Antiqua" w:hAnsi="Book Antiqua" w:cs="Book Antiqua"/>
          <w:sz w:val="18"/>
          <w:szCs w:val="18"/>
          <w:lang w:val="es-ES_tradnl"/>
        </w:rPr>
        <w:t xml:space="preserve">, §2, al. 3. </w:t>
      </w:r>
    </w:p>
  </w:footnote>
  <w:footnote w:id="181">
    <w:p>
      <w:pPr>
        <w:pStyle w:val="Notedebasdepage"/>
        <w:jc w:val="both"/>
      </w:pPr>
      <w:r>
        <w:rPr>
          <w:rStyle w:val="Caractresdenotedebasdepage"/>
          <w:rFonts w:ascii="Book Antiqua" w:hAnsi="Book Antiqua" w:cs="Courier New"/>
          <w:sz w:val="18"/>
          <w:szCs w:val="18"/>
        </w:rPr>
        <w:footnoteRef/>
      </w:r>
      <w:r>
        <w:rPr>
          <w:rFonts w:ascii="Book Antiqua" w:hAnsi="Book Antiqua" w:cs="Book Antiqua"/>
          <w:sz w:val="18"/>
          <w:szCs w:val="18"/>
        </w:rPr>
        <w:tab/>
        <w:t xml:space="preserve"> Ibidem, art.2</w:t>
      </w:r>
      <w:r>
        <w:rPr>
          <w:rFonts w:ascii="Book Antiqua" w:hAnsi="Book Antiqua" w:cs="Book Antiqua"/>
          <w:i/>
          <w:sz w:val="18"/>
          <w:szCs w:val="18"/>
        </w:rPr>
        <w:t>quinquies</w:t>
      </w:r>
      <w:r>
        <w:rPr>
          <w:rFonts w:ascii="Book Antiqua" w:hAnsi="Book Antiqua" w:cs="Book Antiqua"/>
          <w:sz w:val="18"/>
          <w:szCs w:val="18"/>
        </w:rPr>
        <w:t xml:space="preserve">, §2, al. 2. </w:t>
      </w:r>
    </w:p>
  </w:footnote>
  <w:footnote w:id="182">
    <w:p>
      <w:pPr>
        <w:pStyle w:val="Notedebasdepage"/>
        <w:jc w:val="both"/>
      </w:pPr>
      <w:r>
        <w:rPr>
          <w:rStyle w:val="Caractresdenotedebasdepage"/>
          <w:rFonts w:ascii="Book Antiqua" w:hAnsi="Book Antiqua" w:cs="Courier New"/>
          <w:sz w:val="18"/>
          <w:szCs w:val="18"/>
        </w:rPr>
        <w:footnoteRef/>
      </w:r>
      <w:r>
        <w:rPr>
          <w:rFonts w:ascii="Book Antiqua" w:hAnsi="Book Antiqua" w:cs="Book Antiqua"/>
          <w:sz w:val="18"/>
          <w:szCs w:val="18"/>
        </w:rPr>
        <w:tab/>
        <w:t xml:space="preserve"> Décret du 29 juillet 1992 précité, art. 25, al. 2.</w:t>
      </w:r>
    </w:p>
  </w:footnote>
  <w:footnote w:id="183">
    <w:p>
      <w:pPr>
        <w:pStyle w:val="niveau4"/>
        <w:spacing w:before="0" w:after="0"/>
        <w:ind w:left="709" w:hanging="709"/>
      </w:pPr>
      <w:r>
        <w:rPr>
          <w:rStyle w:val="Appelnotedebasdep"/>
          <w:sz w:val="18"/>
          <w:szCs w:val="18"/>
          <w:u w:val="none"/>
        </w:rPr>
        <w:footnoteRef/>
      </w:r>
      <w:r>
        <w:rPr>
          <w:sz w:val="18"/>
          <w:szCs w:val="18"/>
          <w:u w:val="none"/>
        </w:rPr>
        <w:t xml:space="preserve"> </w:t>
      </w:r>
      <w:r>
        <w:rPr>
          <w:u w:val="none"/>
        </w:rPr>
        <w:t xml:space="preserve">          </w:t>
      </w:r>
      <w:r>
        <w:rPr>
          <w:sz w:val="18"/>
          <w:szCs w:val="18"/>
          <w:u w:val="none"/>
        </w:rPr>
        <w:t>Décret du 3 juillet 1991 précité, art. 2</w:t>
      </w:r>
      <w:r>
        <w:rPr>
          <w:i/>
          <w:sz w:val="18"/>
          <w:szCs w:val="18"/>
          <w:u w:val="none"/>
        </w:rPr>
        <w:t>quinquies</w:t>
      </w:r>
      <w:r>
        <w:rPr>
          <w:sz w:val="18"/>
          <w:szCs w:val="18"/>
          <w:u w:val="none"/>
        </w:rPr>
        <w:t>, §1</w:t>
      </w:r>
      <w:r>
        <w:rPr>
          <w:sz w:val="18"/>
          <w:szCs w:val="18"/>
          <w:u w:val="none"/>
          <w:vertAlign w:val="superscript"/>
        </w:rPr>
        <w:t>er</w:t>
      </w:r>
      <w:r>
        <w:rPr>
          <w:sz w:val="18"/>
          <w:szCs w:val="18"/>
          <w:u w:val="none"/>
        </w:rPr>
        <w:t xml:space="preserve"> et arrêté royal n°49 du 2 juillet 1982 relatif aux normes de création, de maintien et de dédoublement et au calcul de crédit d’heures de l’enseignement secondaire de type I, concernant la fusion d’établissements, ainsi que certains emplois du personnel des établissements d’enseignement secondaire de plein exercice de type I et type II, art. 4, al. 1</w:t>
      </w:r>
      <w:r>
        <w:rPr>
          <w:sz w:val="18"/>
          <w:szCs w:val="18"/>
          <w:u w:val="none"/>
          <w:vertAlign w:val="superscript"/>
        </w:rPr>
        <w:t>er</w:t>
      </w:r>
      <w:r>
        <w:rPr>
          <w:sz w:val="18"/>
          <w:szCs w:val="18"/>
          <w:u w:val="none"/>
        </w:rPr>
        <w:t>, 2°</w:t>
      </w:r>
      <w:r>
        <w:rPr>
          <w:sz w:val="18"/>
          <w:szCs w:val="18"/>
        </w:rPr>
        <w:t xml:space="preserve"> et art. 5, al.2.</w:t>
      </w:r>
    </w:p>
  </w:footnote>
  <w:footnote w:id="184">
    <w:p>
      <w:pPr>
        <w:pStyle w:val="niveau4"/>
        <w:spacing w:before="0" w:after="0"/>
        <w:ind w:left="708" w:hanging="708"/>
        <w:jc w:val="both"/>
      </w:pPr>
      <w:r>
        <w:rPr>
          <w:rStyle w:val="Appelnotedebasdep"/>
          <w:u w:val="none"/>
        </w:rPr>
        <w:footnoteRef/>
      </w:r>
      <w:r>
        <w:rPr>
          <w:u w:val="none"/>
        </w:rPr>
        <w:t xml:space="preserve"> </w:t>
      </w:r>
      <w:r>
        <w:rPr>
          <w:u w:val="none"/>
        </w:rPr>
        <w:tab/>
      </w:r>
      <w:r>
        <w:rPr>
          <w:sz w:val="18"/>
          <w:szCs w:val="18"/>
          <w:u w:val="none"/>
        </w:rPr>
        <w:t>Décret du 3 juillet 1991 précité, art. 2</w:t>
      </w:r>
      <w:r>
        <w:rPr>
          <w:i/>
          <w:sz w:val="18"/>
          <w:szCs w:val="18"/>
          <w:u w:val="none"/>
        </w:rPr>
        <w:t>quinquies</w:t>
      </w:r>
      <w:r>
        <w:rPr>
          <w:sz w:val="18"/>
          <w:szCs w:val="18"/>
          <w:u w:val="none"/>
        </w:rPr>
        <w:t>, §1</w:t>
      </w:r>
      <w:r>
        <w:rPr>
          <w:sz w:val="18"/>
          <w:szCs w:val="18"/>
          <w:u w:val="none"/>
          <w:vertAlign w:val="superscript"/>
        </w:rPr>
        <w:t>er</w:t>
      </w:r>
      <w:r>
        <w:rPr>
          <w:sz w:val="18"/>
          <w:szCs w:val="18"/>
          <w:u w:val="none"/>
        </w:rPr>
        <w:t xml:space="preserve"> et arrêté royal n°49 du 2 juillet 1982 relatif aux normes de création, de maintien et de dédoublement et au calcul de crédit d’heures de l’enseignement secondaire de type I, concernant la fusion d’établissements, ainsi que certains emplois du personnel des établissements d’enseignement secondaire de plein exercice de type I et type II, art. 4, al. 1</w:t>
      </w:r>
      <w:r>
        <w:rPr>
          <w:sz w:val="18"/>
          <w:szCs w:val="18"/>
          <w:u w:val="none"/>
          <w:vertAlign w:val="superscript"/>
        </w:rPr>
        <w:t>er</w:t>
      </w:r>
      <w:r>
        <w:rPr>
          <w:sz w:val="18"/>
          <w:szCs w:val="18"/>
          <w:u w:val="none"/>
        </w:rPr>
        <w:t>, 1°</w:t>
      </w:r>
      <w:r>
        <w:rPr>
          <w:sz w:val="18"/>
          <w:szCs w:val="18"/>
        </w:rPr>
        <w:t xml:space="preserve"> </w:t>
      </w:r>
      <w:r>
        <w:rPr>
          <w:sz w:val="18"/>
          <w:szCs w:val="18"/>
          <w:u w:val="none"/>
        </w:rPr>
        <w:t>et art. 5, al.1.</w:t>
      </w:r>
    </w:p>
  </w:footnote>
  <w:footnote w:id="185">
    <w:p>
      <w:pPr>
        <w:pStyle w:val="Notedebasdepage"/>
        <w:rPr>
          <w:lang w:val="fr-BE"/>
        </w:rPr>
      </w:pPr>
      <w:r>
        <w:rPr>
          <w:rStyle w:val="Appelnotedebasdep"/>
        </w:rPr>
        <w:footnoteRef/>
      </w:r>
      <w:r>
        <w:t xml:space="preserve"> </w:t>
      </w:r>
      <w:r>
        <w:rPr>
          <w:lang w:val="fr-BE"/>
        </w:rPr>
        <w:tab/>
        <w:t>C</w:t>
      </w:r>
      <w:r>
        <w:rPr>
          <w:rFonts w:ascii="Book Antiqua" w:hAnsi="Book Antiqua" w:cs="Times New Roman"/>
          <w:bCs/>
          <w:kern w:val="1"/>
          <w:sz w:val="18"/>
          <w:szCs w:val="18"/>
          <w:lang w:val="fr-BE"/>
        </w:rPr>
        <w:t>irculaire n°6652 du 14/05/2018 relative à la CPU</w:t>
      </w:r>
    </w:p>
  </w:footnote>
  <w:footnote w:id="186">
    <w:p>
      <w:pPr>
        <w:pStyle w:val="Notedebasdepage"/>
      </w:pPr>
      <w:r>
        <w:rPr>
          <w:rStyle w:val="Caractresdenotedebasdepage"/>
          <w:rFonts w:ascii="Book Antiqua" w:hAnsi="Book Antiqua" w:cs="Courier New"/>
        </w:rPr>
        <w:footnoteRef/>
      </w:r>
      <w:r>
        <w:rPr>
          <w:rFonts w:ascii="Book Antiqua" w:hAnsi="Book Antiqua" w:cs="Book Antiqua"/>
          <w:sz w:val="18"/>
          <w:szCs w:val="18"/>
        </w:rPr>
        <w:tab/>
        <w:t xml:space="preserve"> Décret du 29 juillet 1992 précité, art. 18.</w:t>
      </w:r>
    </w:p>
  </w:footnote>
  <w:footnote w:id="187">
    <w:p>
      <w:pPr>
        <w:pStyle w:val="Notedebasdepage"/>
        <w:ind w:left="708" w:hanging="708"/>
        <w:rPr>
          <w:rFonts w:ascii="Book Antiqua" w:hAnsi="Book Antiqua"/>
          <w:lang w:val="fr-BE"/>
        </w:rPr>
      </w:pPr>
      <w:r>
        <w:rPr>
          <w:rStyle w:val="Appelnotedebasdep"/>
        </w:rPr>
        <w:footnoteRef/>
      </w:r>
      <w:r>
        <w:t xml:space="preserve"> </w:t>
      </w:r>
      <w:r>
        <w:rPr>
          <w:lang w:val="fr-BE"/>
        </w:rPr>
        <w:tab/>
      </w:r>
      <w:r>
        <w:rPr>
          <w:rFonts w:ascii="Book Antiqua" w:hAnsi="Book Antiqua"/>
          <w:sz w:val="18"/>
          <w:szCs w:val="18"/>
          <w:lang w:val="fr-BE"/>
        </w:rPr>
        <w:t>Coexistence de l’option Maçon/Maçonne en article 45 et en article 49 durant l’année scolaire 2018-2019</w:t>
      </w:r>
    </w:p>
  </w:footnote>
  <w:footnote w:id="188">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bis</w:t>
      </w:r>
      <w:r>
        <w:rPr>
          <w:rFonts w:ascii="Book Antiqua" w:hAnsi="Book Antiqua" w:cs="Book Antiqua"/>
          <w:sz w:val="18"/>
          <w:szCs w:val="18"/>
        </w:rPr>
        <w:t>, §2, al. 1</w:t>
      </w:r>
      <w:r>
        <w:rPr>
          <w:rFonts w:ascii="Book Antiqua" w:hAnsi="Book Antiqua" w:cs="Book Antiqua"/>
          <w:sz w:val="18"/>
          <w:szCs w:val="18"/>
          <w:vertAlign w:val="superscript"/>
        </w:rPr>
        <w:t>er</w:t>
      </w:r>
      <w:r>
        <w:rPr>
          <w:rFonts w:ascii="Book Antiqua" w:hAnsi="Book Antiqua" w:cs="Book Antiqua"/>
          <w:sz w:val="18"/>
          <w:szCs w:val="18"/>
        </w:rPr>
        <w:t>.</w:t>
      </w:r>
    </w:p>
  </w:footnote>
  <w:footnote w:id="189">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Circulaire n° 368 du 29 août 2002, intitulée « Procédure à suivre pour introduire les demandes d’organisation de formations fondées sur l’article 2</w:t>
      </w:r>
      <w:r>
        <w:rPr>
          <w:rFonts w:ascii="Book Antiqua" w:hAnsi="Book Antiqua" w:cs="Book Antiqua"/>
          <w:i/>
          <w:sz w:val="18"/>
          <w:szCs w:val="18"/>
        </w:rPr>
        <w:t>bis</w:t>
      </w:r>
      <w:r>
        <w:rPr>
          <w:rFonts w:ascii="Book Antiqua" w:hAnsi="Book Antiqua" w:cs="Book Antiqua"/>
          <w:sz w:val="18"/>
          <w:szCs w:val="18"/>
        </w:rPr>
        <w:t xml:space="preserve">, §2 du décret du 3 juillet 1991 organisant l’Enseignement secondaire en alternance ». </w:t>
      </w:r>
    </w:p>
  </w:footnote>
  <w:footnote w:id="190">
    <w:p>
      <w:pPr>
        <w:pStyle w:val="Notedebasdepage"/>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bis</w:t>
      </w:r>
      <w:r>
        <w:rPr>
          <w:rFonts w:ascii="Book Antiqua" w:hAnsi="Book Antiqua" w:cs="Book Antiqua"/>
          <w:sz w:val="18"/>
          <w:szCs w:val="18"/>
        </w:rPr>
        <w:t xml:space="preserve">, §2, al. 2. </w:t>
      </w:r>
    </w:p>
  </w:footnote>
  <w:footnote w:id="191">
    <w:p>
      <w:pPr>
        <w:pStyle w:val="Notedebasdepage"/>
        <w:ind w:left="708" w:hanging="708"/>
        <w:rPr>
          <w:lang w:val="fr-BE"/>
        </w:rPr>
      </w:pPr>
      <w:r>
        <w:rPr>
          <w:rStyle w:val="Appelnotedebasdep"/>
        </w:rPr>
        <w:footnoteRef/>
      </w:r>
      <w:r>
        <w:t xml:space="preserve"> </w:t>
      </w:r>
      <w:r>
        <w:rPr>
          <w:lang w:val="fr-BE"/>
        </w:rPr>
        <w:tab/>
      </w:r>
      <w:r>
        <w:rPr>
          <w:rFonts w:ascii="Book Antiqua" w:hAnsi="Book Antiqua"/>
          <w:lang w:val="fr-BE"/>
        </w:rPr>
        <w:t>Coexistence de l’option Maçon/Maçonne en article 49 ET en article 45 pour l’année scolaire 2018-2019</w:t>
      </w:r>
    </w:p>
  </w:footnote>
  <w:footnote w:id="192">
    <w:p>
      <w:pPr>
        <w:pStyle w:val="Notedebasdepage"/>
      </w:pPr>
      <w:r>
        <w:rPr>
          <w:rStyle w:val="Caractresdenotedebasdepage"/>
          <w:rFonts w:ascii="Book Antiqua" w:hAnsi="Book Antiqua" w:cs="Courier New"/>
        </w:rPr>
        <w:footnoteRef/>
      </w:r>
      <w:r>
        <w:rPr>
          <w:rFonts w:ascii="Book Antiqua" w:hAnsi="Book Antiqua" w:cs="Book Antiqua"/>
          <w:sz w:val="18"/>
          <w:szCs w:val="18"/>
        </w:rPr>
        <w:tab/>
        <w:t xml:space="preserve"> Arrêté royal du 29 juin 1984 relatif à l’organisation de l’enseignement secondaire, art. 19, §3. </w:t>
      </w:r>
    </w:p>
  </w:footnote>
  <w:footnote w:id="193">
    <w:p>
      <w:pPr>
        <w:pStyle w:val="Notedebasdepage"/>
        <w:ind w:left="851" w:hanging="851"/>
        <w:jc w:val="both"/>
      </w:pPr>
      <w:r>
        <w:rPr>
          <w:rStyle w:val="Caractresdenotedebasdepage"/>
          <w:rFonts w:ascii="Book Antiqua" w:hAnsi="Book Antiqua" w:cs="Courier New"/>
        </w:rPr>
        <w:footnoteRef/>
      </w:r>
      <w:r>
        <w:tab/>
      </w:r>
      <w:r>
        <w:rPr>
          <w:rFonts w:ascii="Book Antiqua" w:hAnsi="Book Antiqua" w:cs="Book Antiqua"/>
          <w:sz w:val="18"/>
          <w:szCs w:val="18"/>
        </w:rPr>
        <w:t>Arrêté de l’Exécutif de la Communauté française du 31 août 1992 exécutant le décret du 29 juillet 1992 portant organisation de l’enseignement secondaire de plein exercice, art. 13, §1</w:t>
      </w:r>
      <w:r>
        <w:rPr>
          <w:rFonts w:ascii="Book Antiqua" w:hAnsi="Book Antiqua" w:cs="Book Antiqua"/>
          <w:sz w:val="18"/>
          <w:szCs w:val="18"/>
          <w:vertAlign w:val="superscript"/>
        </w:rPr>
        <w:t>er</w:t>
      </w:r>
      <w:r>
        <w:rPr>
          <w:rFonts w:ascii="Book Antiqua" w:hAnsi="Book Antiqua" w:cs="Book Antiqua"/>
          <w:sz w:val="18"/>
          <w:szCs w:val="18"/>
        </w:rPr>
        <w:t xml:space="preserve">. </w:t>
      </w:r>
    </w:p>
  </w:footnote>
  <w:footnote w:id="194">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xml:space="preserve">, al. 2. </w:t>
      </w:r>
    </w:p>
  </w:footnote>
  <w:footnote w:id="195">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Arrêté de l’Exécutif de la Communauté française du 31 août 1992 exécutant le décret du 29 juillet 1992 portant organisation de l’enseignement secondaire de plein exercice, art. 12, §1</w:t>
      </w:r>
      <w:r>
        <w:rPr>
          <w:rFonts w:ascii="Book Antiqua" w:hAnsi="Book Antiqua" w:cs="Book Antiqua"/>
          <w:sz w:val="18"/>
          <w:szCs w:val="18"/>
          <w:vertAlign w:val="superscript"/>
        </w:rPr>
        <w:t>er</w:t>
      </w:r>
      <w:r>
        <w:rPr>
          <w:rFonts w:ascii="Book Antiqua" w:hAnsi="Book Antiqua" w:cs="Book Antiqua"/>
          <w:sz w:val="18"/>
          <w:szCs w:val="18"/>
        </w:rPr>
        <w:t xml:space="preserve">. </w:t>
      </w:r>
    </w:p>
  </w:footnote>
  <w:footnote w:id="196">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29 juillet 1992 portant organisation de l’enseignement secondaire de plein exercice, art. 18, 1°. </w:t>
      </w:r>
    </w:p>
  </w:footnote>
  <w:footnote w:id="19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18, 2°, al. 2. </w:t>
      </w:r>
    </w:p>
  </w:footnote>
  <w:footnote w:id="19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18,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199">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Arrêté de l’Exécutif de la Communauté française du 31 août 1992 précité, art. 12, §§1</w:t>
      </w:r>
      <w:r>
        <w:rPr>
          <w:rFonts w:ascii="Book Antiqua" w:hAnsi="Book Antiqua" w:cs="Book Antiqua"/>
          <w:sz w:val="18"/>
          <w:szCs w:val="18"/>
          <w:vertAlign w:val="superscript"/>
        </w:rPr>
        <w:t>er</w:t>
      </w:r>
      <w:r>
        <w:rPr>
          <w:rFonts w:ascii="Book Antiqua" w:hAnsi="Book Antiqua" w:cs="Book Antiqua"/>
          <w:sz w:val="18"/>
          <w:szCs w:val="18"/>
        </w:rPr>
        <w:t xml:space="preserve"> à 7. </w:t>
      </w:r>
    </w:p>
  </w:footnote>
  <w:footnote w:id="200">
    <w:p>
      <w:pPr>
        <w:pStyle w:val="Notedebasdepage"/>
      </w:pPr>
      <w:r>
        <w:rPr>
          <w:rStyle w:val="Appelnotedebasdep"/>
          <w:rFonts w:cs="Courier New"/>
        </w:rPr>
        <w:footnoteRef/>
      </w:r>
      <w:r>
        <w:t xml:space="preserve"> </w:t>
      </w:r>
      <w:r>
        <w:tab/>
      </w:r>
      <w:r>
        <w:rPr>
          <w:rFonts w:ascii="Book Antiqua" w:hAnsi="Book Antiqua"/>
          <w:sz w:val="18"/>
          <w:szCs w:val="18"/>
          <w:lang w:val="fr-BE"/>
        </w:rPr>
        <w:t>Arrêté royal n°49 du 2 juillet 1982, article 9</w:t>
      </w:r>
    </w:p>
  </w:footnote>
  <w:footnote w:id="201">
    <w:p>
      <w:pPr>
        <w:pStyle w:val="Notedebasdepage"/>
        <w:jc w:val="both"/>
      </w:pPr>
      <w:r>
        <w:rPr>
          <w:rStyle w:val="Caractresdenotedebasdepage"/>
          <w:rFonts w:ascii="Book Antiqua" w:hAnsi="Book Antiqua" w:cs="Courier New"/>
        </w:rPr>
        <w:footnoteRef/>
      </w:r>
      <w:r>
        <w:rPr>
          <w:rFonts w:ascii="Book Antiqua" w:hAnsi="Book Antiqua"/>
          <w:sz w:val="18"/>
          <w:szCs w:val="18"/>
        </w:rPr>
        <w:tab/>
        <w:t>Voir circulaire annuelle « Demandes de dérogations relatives aux structures et à l’encadrement »</w:t>
      </w:r>
    </w:p>
  </w:footnote>
  <w:footnote w:id="202">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Un pouvoir organisateur dans l’enseignement subventionné ou le chef d’établissement dans l’enseignement organisé par la Fédération Wallonie-Bruxelles peut, de sa propre initiative, et dans le respect des procédures réglementaires, décider la fermeture d’un ou de plusieurs degrés, d’un ou plusieurs options.</w:t>
      </w:r>
    </w:p>
  </w:footnote>
  <w:footnote w:id="203">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1991précité,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al. 2</w:t>
      </w:r>
    </w:p>
  </w:footnote>
  <w:footnote w:id="204">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29 juillet 1992 précité, art.19, §2.</w:t>
      </w:r>
    </w:p>
  </w:footnote>
  <w:footnote w:id="20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Ibidem, art.19, §4.</w:t>
      </w:r>
    </w:p>
  </w:footnote>
  <w:footnote w:id="206">
    <w:p>
      <w:pPr>
        <w:pStyle w:val="Notedebasdepage"/>
        <w:spacing w:after="60"/>
        <w:ind w:left="709" w:hanging="709"/>
      </w:pPr>
      <w:r>
        <w:rPr>
          <w:rStyle w:val="Caractresdenotedebasdepage"/>
          <w:rFonts w:ascii="Book Antiqua" w:hAnsi="Book Antiqua" w:cs="Courier New"/>
          <w:sz w:val="18"/>
          <w:szCs w:val="18"/>
        </w:rPr>
        <w:footnoteRef/>
      </w:r>
      <w:r>
        <w:rPr>
          <w:rFonts w:ascii="Book Antiqua" w:hAnsi="Book Antiqua" w:cs="Book Antiqua"/>
          <w:sz w:val="18"/>
          <w:szCs w:val="18"/>
        </w:rPr>
        <w:tab/>
        <w:t>Décret du 29 juillet 1992 portant organisation de l’enseignement secondaire de plein exercice, art. 22, §1</w:t>
      </w:r>
      <w:r>
        <w:rPr>
          <w:rFonts w:ascii="Book Antiqua" w:hAnsi="Book Antiqua" w:cs="Book Antiqua"/>
          <w:sz w:val="18"/>
          <w:szCs w:val="18"/>
          <w:vertAlign w:val="superscript"/>
        </w:rPr>
        <w:t>er</w:t>
      </w:r>
      <w:r>
        <w:rPr>
          <w:rFonts w:ascii="Book Antiqua" w:hAnsi="Book Antiqua" w:cs="Book Antiqua"/>
          <w:sz w:val="18"/>
          <w:szCs w:val="18"/>
        </w:rPr>
        <w:t>, al.1</w:t>
      </w:r>
      <w:r>
        <w:rPr>
          <w:rFonts w:ascii="Book Antiqua" w:hAnsi="Book Antiqua" w:cs="Book Antiqua"/>
          <w:sz w:val="18"/>
          <w:szCs w:val="18"/>
          <w:vertAlign w:val="superscript"/>
        </w:rPr>
        <w:t>er</w:t>
      </w:r>
      <w:r>
        <w:rPr>
          <w:rFonts w:ascii="Book Antiqua" w:hAnsi="Book Antiqua" w:cs="Book Antiqua"/>
          <w:sz w:val="18"/>
          <w:szCs w:val="18"/>
        </w:rPr>
        <w:t>.</w:t>
      </w:r>
    </w:p>
  </w:footnote>
  <w:footnote w:id="207">
    <w:p>
      <w:pPr>
        <w:pStyle w:val="Notedebasdepage"/>
        <w:spacing w:after="60"/>
        <w:ind w:left="709" w:hanging="709"/>
      </w:pPr>
      <w:r>
        <w:rPr>
          <w:rStyle w:val="Caractresdenotedebasdepage"/>
          <w:rFonts w:ascii="Book Antiqua" w:hAnsi="Book Antiqua" w:cs="Courier New"/>
          <w:sz w:val="18"/>
          <w:szCs w:val="18"/>
        </w:rPr>
        <w:footnoteRef/>
      </w:r>
      <w:r>
        <w:rPr>
          <w:rFonts w:ascii="Book Antiqua" w:hAnsi="Book Antiqua" w:cs="Book Antiqua"/>
          <w:sz w:val="18"/>
          <w:szCs w:val="18"/>
        </w:rPr>
        <w:tab/>
        <w:t>Ibidem, art. 22, §1</w:t>
      </w:r>
      <w:r>
        <w:rPr>
          <w:rFonts w:ascii="Book Antiqua" w:hAnsi="Book Antiqua" w:cs="Book Antiqua"/>
          <w:sz w:val="18"/>
          <w:szCs w:val="18"/>
          <w:vertAlign w:val="superscript"/>
        </w:rPr>
        <w:t>er</w:t>
      </w:r>
      <w:r>
        <w:rPr>
          <w:rFonts w:ascii="Book Antiqua" w:hAnsi="Book Antiqua" w:cs="Book Antiqua"/>
          <w:sz w:val="18"/>
          <w:szCs w:val="18"/>
        </w:rPr>
        <w:t>, al.2, tel que modifié par l’article 6 du décret du 8 mars 2007 portant diverses mesures visant à réguler les inscriptions et les changements d’écoles dans l’enseignement obligatoire.</w:t>
      </w:r>
    </w:p>
  </w:footnote>
  <w:footnote w:id="208">
    <w:p>
      <w:pPr>
        <w:pStyle w:val="Corpsdetexte"/>
        <w:tabs>
          <w:tab w:val="left" w:pos="426"/>
          <w:tab w:val="left" w:pos="3600"/>
        </w:tabs>
        <w:spacing w:after="60"/>
        <w:ind w:left="709" w:hanging="709"/>
        <w:jc w:val="left"/>
      </w:pPr>
      <w:r>
        <w:rPr>
          <w:rStyle w:val="Caractresdenotedebasdepage"/>
          <w:rFonts w:ascii="Book Antiqua" w:hAnsi="Book Antiqua"/>
          <w:sz w:val="18"/>
          <w:szCs w:val="18"/>
        </w:rPr>
        <w:footnoteRef/>
      </w:r>
      <w:r>
        <w:rPr>
          <w:rFonts w:ascii="Book Antiqua" w:hAnsi="Book Antiqua" w:cs="Book Antiqua"/>
          <w:sz w:val="18"/>
          <w:szCs w:val="18"/>
        </w:rPr>
        <w:tab/>
        <w:t xml:space="preserve">      </w:t>
      </w:r>
      <w:r>
        <w:rPr>
          <w:rFonts w:ascii="Book Antiqua" w:hAnsi="Book Antiqua" w:cs="Book Antiqua"/>
          <w:sz w:val="18"/>
          <w:szCs w:val="18"/>
          <w:lang w:val="fr-BE"/>
        </w:rPr>
        <w:t>Décret du 24 juillet 1997 définissant les missions prioritaires de l’enseignement fondamental et de l’enseignement secondaire et organisant les structures propres à les atteindre, art. 85 et 93.</w:t>
      </w:r>
    </w:p>
  </w:footnote>
  <w:footnote w:id="209">
    <w:p>
      <w:pPr>
        <w:pStyle w:val="Corpsdetexte"/>
        <w:tabs>
          <w:tab w:val="left" w:pos="426"/>
          <w:tab w:val="left" w:pos="3600"/>
        </w:tabs>
        <w:spacing w:after="60"/>
        <w:ind w:left="709" w:hanging="709"/>
        <w:jc w:val="left"/>
      </w:pPr>
      <w:r>
        <w:rPr>
          <w:rStyle w:val="Caractresdenotedebasdepage"/>
          <w:rFonts w:ascii="Book Antiqua" w:hAnsi="Book Antiqua"/>
          <w:sz w:val="18"/>
          <w:szCs w:val="18"/>
        </w:rPr>
        <w:footnoteRef/>
      </w:r>
      <w:r>
        <w:rPr>
          <w:rFonts w:ascii="Book Antiqua" w:hAnsi="Book Antiqua" w:cs="Book Antiqua"/>
          <w:sz w:val="18"/>
          <w:szCs w:val="18"/>
        </w:rPr>
        <w:tab/>
        <w:t xml:space="preserve">      </w:t>
      </w:r>
      <w:r>
        <w:rPr>
          <w:rFonts w:ascii="Book Antiqua" w:hAnsi="Book Antiqua" w:cs="Book Antiqua"/>
          <w:sz w:val="18"/>
          <w:szCs w:val="18"/>
          <w:lang w:val="fr-BE"/>
        </w:rPr>
        <w:t>Décret du 30 juin 1998 visant à assurer à tous les élèves des chances égales d’émancipation sociale, notamment par la mise en œuvre de discriminations positives tel que modifié par le décret du 12 décembre 2008 favorisant l’organisation du premier degré et prenant diverses mesures en matière d’enseignement, art.41.</w:t>
      </w:r>
    </w:p>
  </w:footnote>
  <w:footnote w:id="21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2quinquies, §3, al. 2.</w:t>
      </w:r>
    </w:p>
  </w:footnote>
  <w:footnote w:id="211">
    <w:p>
      <w:pPr>
        <w:pStyle w:val="Notedebasdepage"/>
        <w:rPr>
          <w:rFonts w:ascii="Book Antiqua" w:hAnsi="Book Antiqua" w:cs="Book Antiqua"/>
          <w:sz w:val="18"/>
          <w:szCs w:val="18"/>
        </w:rPr>
      </w:pPr>
      <w:r>
        <w:rPr>
          <w:rStyle w:val="Appelnotedebasdep"/>
        </w:rPr>
        <w:footnoteRef/>
      </w:r>
      <w:r>
        <w:t xml:space="preserve"> </w:t>
      </w:r>
      <w:r>
        <w:tab/>
      </w:r>
      <w:r>
        <w:rPr>
          <w:rFonts w:ascii="Book Antiqua" w:hAnsi="Book Antiqua" w:cs="Book Antiqua"/>
          <w:sz w:val="18"/>
          <w:szCs w:val="18"/>
        </w:rPr>
        <w:t>Ibidem, article 18, alinéa 2 tel que modifié.</w:t>
      </w:r>
    </w:p>
  </w:footnote>
  <w:footnote w:id="21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w:t>
      </w:r>
      <w:proofErr w:type="spellStart"/>
      <w:r>
        <w:rPr>
          <w:rFonts w:ascii="Book Antiqua" w:hAnsi="Book Antiqua" w:cs="Book Antiqua"/>
          <w:sz w:val="18"/>
          <w:szCs w:val="18"/>
          <w:lang w:val="en-GB"/>
        </w:rPr>
        <w:t>Ibidem</w:t>
      </w:r>
      <w:proofErr w:type="spellEnd"/>
      <w:r>
        <w:rPr>
          <w:rFonts w:ascii="Book Antiqua" w:hAnsi="Book Antiqua" w:cs="Book Antiqua"/>
          <w:sz w:val="18"/>
          <w:szCs w:val="18"/>
          <w:lang w:val="en-GB"/>
        </w:rPr>
        <w:t>, art. 14, §1</w:t>
      </w:r>
      <w:r>
        <w:rPr>
          <w:rFonts w:ascii="Book Antiqua" w:hAnsi="Book Antiqua" w:cs="Book Antiqua"/>
          <w:sz w:val="18"/>
          <w:szCs w:val="18"/>
          <w:vertAlign w:val="superscript"/>
          <w:lang w:val="en-GB"/>
        </w:rPr>
        <w:t>er</w:t>
      </w:r>
      <w:r>
        <w:rPr>
          <w:rFonts w:ascii="Book Antiqua" w:hAnsi="Book Antiqua" w:cs="Book Antiqua"/>
          <w:sz w:val="18"/>
          <w:szCs w:val="18"/>
          <w:lang w:val="en-GB"/>
        </w:rPr>
        <w:t xml:space="preserve">, al. 2. </w:t>
      </w:r>
    </w:p>
  </w:footnote>
  <w:footnote w:id="21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§5. </w:t>
      </w:r>
    </w:p>
  </w:footnote>
  <w:footnote w:id="21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al. 5.</w:t>
      </w:r>
    </w:p>
  </w:footnote>
  <w:footnote w:id="21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al. 7.</w:t>
      </w:r>
    </w:p>
  </w:footnote>
  <w:footnote w:id="21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3,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1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al. 4.</w:t>
      </w:r>
    </w:p>
  </w:footnote>
  <w:footnote w:id="21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2. </w:t>
      </w:r>
    </w:p>
  </w:footnote>
  <w:footnote w:id="21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2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al. 3.</w:t>
      </w:r>
      <w:r>
        <w:rPr>
          <w:lang w:val="de-DE"/>
        </w:rPr>
        <w:t xml:space="preserve"> </w:t>
      </w:r>
    </w:p>
  </w:footnote>
  <w:footnote w:id="22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2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§2, al. 2. </w:t>
      </w:r>
    </w:p>
  </w:footnote>
  <w:footnote w:id="22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§2, al. 3. </w:t>
      </w:r>
    </w:p>
  </w:footnote>
  <w:footnote w:id="22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§3,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2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§3, al. 2. </w:t>
      </w:r>
    </w:p>
  </w:footnote>
  <w:footnote w:id="22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§4,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2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§4, al. 2. </w:t>
      </w:r>
    </w:p>
  </w:footnote>
  <w:footnote w:id="22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18, al. 2. </w:t>
      </w:r>
    </w:p>
  </w:footnote>
  <w:footnote w:id="229">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Ibidem, art. 18, al. 3, tel qu’inséré par l’article 4 du décret du 8 mars 2007 portant diverses mesures visant à réguler les inscriptions et les changements d’écoles dans l’enseignement obligatoire.</w:t>
      </w:r>
    </w:p>
  </w:footnote>
  <w:footnote w:id="230">
    <w:p>
      <w:pPr>
        <w:pStyle w:val="Notedebasdepage"/>
        <w:spacing w:after="60"/>
        <w:rPr>
          <w:lang w:val="fr-BE"/>
        </w:rPr>
      </w:pPr>
      <w:r>
        <w:rPr>
          <w:rStyle w:val="Caractresdenotedebasdepage"/>
          <w:rFonts w:ascii="Book Antiqua" w:hAnsi="Book Antiqua" w:cs="Courier New"/>
        </w:rPr>
        <w:footnoteRef/>
      </w:r>
      <w:r>
        <w:rPr>
          <w:rFonts w:ascii="Book Antiqua" w:hAnsi="Book Antiqua" w:cs="Book Antiqua"/>
          <w:sz w:val="18"/>
          <w:lang w:val="fr-BE"/>
        </w:rPr>
        <w:tab/>
        <w:t xml:space="preserve"> Ibidem, art. 14, §4</w:t>
      </w:r>
      <w:r>
        <w:rPr>
          <w:lang w:val="fr-BE"/>
        </w:rPr>
        <w:t>.</w:t>
      </w:r>
    </w:p>
  </w:footnote>
  <w:footnote w:id="231">
    <w:p>
      <w:pPr>
        <w:pStyle w:val="Notedebasdepage"/>
        <w:jc w:val="both"/>
        <w:rPr>
          <w:rFonts w:ascii="Book Antiqua" w:hAnsi="Book Antiqua" w:cs="Book Antiqua"/>
          <w:sz w:val="18"/>
          <w:szCs w:val="18"/>
          <w:lang w:val="de-DE"/>
        </w:rPr>
      </w:pPr>
      <w:r>
        <w:rPr>
          <w:rStyle w:val="Appelnotedebasdep"/>
        </w:rPr>
        <w:footnoteRef/>
      </w:r>
      <w:r>
        <w:t xml:space="preserve"> </w:t>
      </w:r>
      <w:r>
        <w:rPr>
          <w:lang w:val="fr-BE"/>
        </w:rPr>
        <w:tab/>
      </w:r>
      <w:r>
        <w:rPr>
          <w:rFonts w:ascii="Book Antiqua" w:hAnsi="Book Antiqua" w:cs="Book Antiqua"/>
          <w:sz w:val="18"/>
          <w:szCs w:val="18"/>
          <w:lang w:val="de-DE"/>
        </w:rPr>
        <w:t xml:space="preserve">Ibidem, art. 15bis </w:t>
      </w:r>
      <w:proofErr w:type="spellStart"/>
      <w:r>
        <w:rPr>
          <w:rFonts w:ascii="Book Antiqua" w:hAnsi="Book Antiqua" w:cs="Book Antiqua"/>
          <w:sz w:val="18"/>
          <w:szCs w:val="18"/>
          <w:lang w:val="de-DE"/>
        </w:rPr>
        <w:t>tel</w:t>
      </w:r>
      <w:proofErr w:type="spellEnd"/>
      <w:r>
        <w:rPr>
          <w:rFonts w:ascii="Book Antiqua" w:hAnsi="Book Antiqua" w:cs="Book Antiqua"/>
          <w:sz w:val="18"/>
          <w:szCs w:val="18"/>
          <w:lang w:val="de-DE"/>
        </w:rPr>
        <w:t xml:space="preserve"> </w:t>
      </w:r>
      <w:proofErr w:type="spellStart"/>
      <w:r>
        <w:rPr>
          <w:rFonts w:ascii="Book Antiqua" w:hAnsi="Book Antiqua" w:cs="Book Antiqua"/>
          <w:sz w:val="18"/>
          <w:szCs w:val="18"/>
          <w:lang w:val="de-DE"/>
        </w:rPr>
        <w:t>qu’inséré</w:t>
      </w:r>
      <w:proofErr w:type="spellEnd"/>
      <w:r>
        <w:rPr>
          <w:rFonts w:ascii="Book Antiqua" w:hAnsi="Book Antiqua" w:cs="Book Antiqua"/>
          <w:sz w:val="18"/>
          <w:szCs w:val="18"/>
          <w:lang w:val="de-DE"/>
        </w:rPr>
        <w:t xml:space="preserve"> par le </w:t>
      </w:r>
      <w:proofErr w:type="spellStart"/>
      <w:r>
        <w:rPr>
          <w:rFonts w:ascii="Book Antiqua" w:hAnsi="Book Antiqua" w:cs="Book Antiqua"/>
          <w:sz w:val="18"/>
          <w:szCs w:val="18"/>
          <w:lang w:val="de-DE"/>
        </w:rPr>
        <w:t>décret</w:t>
      </w:r>
      <w:proofErr w:type="spellEnd"/>
      <w:r>
        <w:rPr>
          <w:rFonts w:ascii="Book Antiqua" w:hAnsi="Book Antiqua" w:cs="Book Antiqua"/>
          <w:sz w:val="18"/>
          <w:szCs w:val="18"/>
          <w:lang w:val="de-DE"/>
        </w:rPr>
        <w:t xml:space="preserve"> du 24 </w:t>
      </w:r>
      <w:proofErr w:type="spellStart"/>
      <w:r>
        <w:rPr>
          <w:rFonts w:ascii="Book Antiqua" w:hAnsi="Book Antiqua" w:cs="Book Antiqua"/>
          <w:sz w:val="18"/>
          <w:szCs w:val="18"/>
          <w:lang w:val="de-DE"/>
        </w:rPr>
        <w:t>mai</w:t>
      </w:r>
      <w:proofErr w:type="spellEnd"/>
      <w:r>
        <w:rPr>
          <w:rFonts w:ascii="Book Antiqua" w:hAnsi="Book Antiqua" w:cs="Book Antiqua"/>
          <w:sz w:val="18"/>
          <w:szCs w:val="18"/>
          <w:lang w:val="de-DE"/>
        </w:rPr>
        <w:t xml:space="preserve"> 2017 </w:t>
      </w:r>
      <w:proofErr w:type="spellStart"/>
      <w:r>
        <w:rPr>
          <w:rFonts w:ascii="Book Antiqua" w:hAnsi="Book Antiqua" w:cs="Book Antiqua"/>
          <w:sz w:val="18"/>
          <w:szCs w:val="18"/>
          <w:lang w:val="de-DE"/>
        </w:rPr>
        <w:t>précité</w:t>
      </w:r>
      <w:proofErr w:type="spellEnd"/>
      <w:r>
        <w:rPr>
          <w:rFonts w:ascii="Book Antiqua" w:hAnsi="Book Antiqua" w:cs="Book Antiqua"/>
          <w:sz w:val="18"/>
          <w:szCs w:val="18"/>
          <w:lang w:val="de-DE"/>
        </w:rPr>
        <w:t>.</w:t>
      </w:r>
    </w:p>
  </w:footnote>
  <w:footnote w:id="23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23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5. </w:t>
      </w:r>
    </w:p>
  </w:footnote>
  <w:footnote w:id="23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6. </w:t>
      </w:r>
    </w:p>
  </w:footnote>
  <w:footnote w:id="23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al. 2.</w:t>
      </w:r>
      <w:r>
        <w:rPr>
          <w:rFonts w:ascii="Book Antiqua" w:hAnsi="Book Antiqua" w:cs="Book Antiqua"/>
          <w:sz w:val="18"/>
          <w:szCs w:val="18"/>
          <w:vertAlign w:val="superscript"/>
          <w:lang w:val="de-DE"/>
        </w:rPr>
        <w:t xml:space="preserve"> </w:t>
      </w:r>
    </w:p>
  </w:footnote>
  <w:footnote w:id="23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Ibidem, art. 14,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3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Ibidem, art. 14, §2, al. 2. </w:t>
      </w:r>
    </w:p>
  </w:footnote>
  <w:footnote w:id="23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Ibidem, art. 14, §2, al. 3. </w:t>
      </w:r>
    </w:p>
  </w:footnote>
  <w:footnote w:id="23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Ibidem, art. 14, §2, al. 4. </w:t>
      </w:r>
    </w:p>
  </w:footnote>
  <w:footnote w:id="24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Ibidem, art. 14, §2, al. 5. </w:t>
      </w:r>
    </w:p>
  </w:footnote>
  <w:footnote w:id="24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Ibidem, art. 14, §3. </w:t>
      </w:r>
    </w:p>
  </w:footnote>
  <w:footnote w:id="242">
    <w:p>
      <w:pPr>
        <w:pStyle w:val="Notedebasdepage"/>
        <w:rPr>
          <w:rFonts w:ascii="Book Antiqua" w:hAnsi="Book Antiqua" w:cs="Book Antiqua"/>
          <w:sz w:val="18"/>
          <w:szCs w:val="18"/>
          <w:lang w:val="de-DE"/>
        </w:rPr>
      </w:pPr>
      <w:r>
        <w:rPr>
          <w:rStyle w:val="Appelnotedebasdep"/>
          <w:rFonts w:ascii="Book Antiqua" w:hAnsi="Book Antiqua"/>
        </w:rPr>
        <w:footnoteRef/>
      </w:r>
      <w:r>
        <w:rPr>
          <w:rFonts w:ascii="Book Antiqua" w:hAnsi="Book Antiqua"/>
          <w:lang w:val="en-US"/>
        </w:rPr>
        <w:t xml:space="preserve"> </w:t>
      </w:r>
      <w:r>
        <w:rPr>
          <w:rFonts w:ascii="Book Antiqua" w:hAnsi="Book Antiqua"/>
          <w:lang w:val="en-US"/>
        </w:rPr>
        <w:tab/>
      </w:r>
      <w:r>
        <w:rPr>
          <w:rFonts w:ascii="Book Antiqua" w:hAnsi="Book Antiqua" w:cs="Book Antiqua"/>
          <w:sz w:val="18"/>
          <w:szCs w:val="18"/>
          <w:lang w:val="de-DE"/>
        </w:rPr>
        <w:t>Ibidem, art. 15bis.</w:t>
      </w:r>
    </w:p>
  </w:footnote>
  <w:footnote w:id="243">
    <w:p>
      <w:pPr>
        <w:pStyle w:val="Notedebasdepage"/>
        <w:spacing w:after="60"/>
        <w:rPr>
          <w:lang w:val="fr-BE"/>
        </w:rPr>
      </w:pPr>
      <w:r>
        <w:rPr>
          <w:rStyle w:val="Caractresdenotedebasdepage"/>
          <w:rFonts w:ascii="Book Antiqua" w:hAnsi="Book Antiqua" w:cs="Courier New"/>
        </w:rPr>
        <w:footnoteRef/>
      </w:r>
      <w:r>
        <w:rPr>
          <w:rFonts w:ascii="Book Antiqua" w:hAnsi="Book Antiqua" w:cs="Book Antiqua"/>
          <w:sz w:val="18"/>
          <w:szCs w:val="18"/>
          <w:lang w:val="fr-BE"/>
        </w:rPr>
        <w:tab/>
        <w:t>Ibidem, art. 18, al. 2.</w:t>
      </w:r>
    </w:p>
  </w:footnote>
  <w:footnote w:id="244">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Ibidem, art. 18, al. 3, tel qu’inséré par l’article 4 du décret du 8 mars 2007 portant diverses mesures visant à réguler les inscriptions et les changements d’écoles dans l’enseignement obligatoire.</w:t>
      </w:r>
    </w:p>
  </w:footnote>
  <w:footnote w:id="245">
    <w:p>
      <w:pPr>
        <w:pStyle w:val="Notedebasdepage"/>
        <w:rPr>
          <w:rFonts w:ascii="Book Antiqua" w:hAnsi="Book Antiqua"/>
          <w:sz w:val="18"/>
          <w:szCs w:val="18"/>
          <w:lang w:val="fr-BE"/>
        </w:rPr>
      </w:pPr>
      <w:r>
        <w:rPr>
          <w:rStyle w:val="Appelnotedebasdep"/>
        </w:rPr>
        <w:footnoteRef/>
      </w:r>
      <w:r>
        <w:rPr>
          <w:lang w:val="fr-BE"/>
        </w:rPr>
        <w:t xml:space="preserve"> </w:t>
      </w:r>
      <w:r>
        <w:rPr>
          <w:lang w:val="fr-BE"/>
        </w:rPr>
        <w:tab/>
      </w:r>
      <w:r>
        <w:rPr>
          <w:rFonts w:ascii="Book Antiqua" w:hAnsi="Book Antiqua" w:cs="Book Antiqua"/>
          <w:sz w:val="18"/>
          <w:szCs w:val="18"/>
          <w:lang w:val="de-DE"/>
        </w:rPr>
        <w:t>Ibidem, art. 14, §2/1.</w:t>
      </w:r>
    </w:p>
  </w:footnote>
  <w:footnote w:id="246">
    <w:p>
      <w:pPr>
        <w:suppressAutoHyphens w:val="0"/>
        <w:ind w:left="708" w:hanging="708"/>
        <w:jc w:val="both"/>
        <w:rPr>
          <w:lang w:val="fr-BE"/>
        </w:rPr>
      </w:pPr>
      <w:r>
        <w:rPr>
          <w:rStyle w:val="Appelnotedebasdep"/>
        </w:rPr>
        <w:footnoteRef/>
      </w:r>
      <w:r>
        <w:t xml:space="preserve"> </w:t>
      </w:r>
      <w:r>
        <w:tab/>
      </w:r>
      <w:r>
        <w:rPr>
          <w:rFonts w:ascii="Book Antiqua" w:hAnsi="Book Antiqua"/>
          <w:sz w:val="18"/>
          <w:szCs w:val="18"/>
          <w:lang w:val="fr-BE" w:eastAsia="fr-BE"/>
        </w:rPr>
        <w:t>Arrêté du Gouvernement de la Communauté française du 27 février 2014 déterminant le mode de calcul du complément de périodes-professeurs octroyé, au troisième degré de la section de qualification de l'enseignement secondaire ordinaire, dans les options de base groupées organisées dans le régime de la CPU tel que modifié par l’Arrêté du Gouvernement de la Communauté française du 10 mai 2017, article 2.</w:t>
      </w:r>
    </w:p>
  </w:footnote>
  <w:footnote w:id="24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18,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4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19,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4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19, al. 2. </w:t>
      </w:r>
    </w:p>
  </w:footnote>
  <w:footnote w:id="25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20,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5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21, al. 2. </w:t>
      </w:r>
    </w:p>
  </w:footnote>
  <w:footnote w:id="25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21, al. 3.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niveau5"/>
      <w:rPr>
        <w:szCs w:val="18"/>
      </w:rPr>
    </w:pPr>
    <w:r>
      <w:t>Annexe i</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niveau5"/>
      <w:rPr>
        <w:szCs w:val="18"/>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niveau5"/>
    </w:pPr>
    <w:r>
      <w:t xml:space="preserve">Annexe 4 bis : Demande de dérogation pour répondre à l’obligation de suivre effectivement et assidûment les cours d’une année d’étude dans un établissement d’enseignement en alternance </w:t>
    </w:r>
    <w:proofErr w:type="gramStart"/>
    <w:r>
      <w:t>subventionné</w:t>
    </w:r>
    <w:proofErr w:type="gramEnd"/>
    <w:r>
      <w:t xml:space="preserve"> par la Communauté française</w:t>
    </w:r>
  </w:p>
  <w:p>
    <w:pPr>
      <w:pStyle w:val="En-tte"/>
      <w:rPr>
        <w:i/>
        <w:iCs/>
        <w:sz w:val="16"/>
        <w:lang w:val="fr-B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bottom w:val="single" w:sz="4" w:space="1" w:color="000000"/>
      </w:pBdr>
      <w:spacing w:after="120"/>
    </w:pPr>
    <w:r>
      <w:rPr>
        <w:rFonts w:ascii="Arial Narrow" w:hAnsi="Arial Narrow" w:cs="Arial Narrow"/>
        <w:sz w:val="18"/>
        <w:szCs w:val="18"/>
      </w:rPr>
      <w:t>Enseignement secondaire en alternance</w:t>
    </w:r>
    <w:r>
      <w:rPr>
        <w:rFonts w:ascii="Arial Narrow" w:hAnsi="Arial Narrow" w:cs="Arial Narrow"/>
        <w:sz w:val="18"/>
        <w:szCs w:val="18"/>
      </w:rPr>
      <w:tab/>
    </w:r>
    <w:r>
      <w:rPr>
        <w:rFonts w:ascii="Arial Narrow" w:hAnsi="Arial Narrow" w:cs="Arial Narrow"/>
        <w:sz w:val="18"/>
        <w:szCs w:val="18"/>
      </w:rPr>
      <w:tab/>
      <w:t>Directives pour l’année scolaire 2018-2019</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bottom w:val="single" w:sz="4" w:space="1" w:color="000000"/>
      </w:pBdr>
      <w:spacing w:after="120"/>
      <w:rPr>
        <w:rFonts w:ascii="Arial Narrow" w:hAnsi="Arial Narrow" w:cs="Arial Narrow"/>
        <w:sz w:val="18"/>
        <w:szCs w:val="18"/>
      </w:rPr>
    </w:pPr>
    <w:r>
      <w:rPr>
        <w:rFonts w:ascii="Arial Narrow" w:hAnsi="Arial Narrow" w:cs="Arial Narrow"/>
        <w:sz w:val="18"/>
        <w:szCs w:val="18"/>
      </w:rPr>
      <w:t>Enseignement secondaire en alternance</w:t>
    </w:r>
    <w:r>
      <w:rPr>
        <w:rFonts w:ascii="Arial Narrow" w:hAnsi="Arial Narrow" w:cs="Arial Narrow"/>
        <w:sz w:val="18"/>
        <w:szCs w:val="18"/>
      </w:rPr>
      <w:tab/>
    </w:r>
    <w:r>
      <w:rPr>
        <w:rFonts w:ascii="Arial Narrow" w:hAnsi="Arial Narrow" w:cs="Arial Narrow"/>
        <w:sz w:val="18"/>
        <w:szCs w:val="18"/>
      </w:rPr>
      <w:tab/>
      <w:t>Directives pour l’année scolaire 2018-2019</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bottom w:val="single" w:sz="4" w:space="1" w:color="000000"/>
      </w:pBdr>
      <w:spacing w:after="120"/>
      <w:rPr>
        <w:rFonts w:ascii="Arial Narrow" w:hAnsi="Arial Narrow" w:cs="Arial Narrow"/>
        <w:sz w:val="18"/>
        <w:szCs w:val="18"/>
      </w:rPr>
    </w:pPr>
    <w:r>
      <w:rPr>
        <w:rFonts w:ascii="Arial Narrow" w:hAnsi="Arial Narrow" w:cs="Arial Narrow"/>
        <w:sz w:val="18"/>
        <w:szCs w:val="18"/>
      </w:rPr>
      <w:t>Enseignement secondaire en alternance</w:t>
    </w:r>
    <w:r>
      <w:rPr>
        <w:rFonts w:ascii="Arial Narrow" w:hAnsi="Arial Narrow" w:cs="Arial Narrow"/>
        <w:sz w:val="18"/>
        <w:szCs w:val="18"/>
      </w:rPr>
      <w:tab/>
    </w:r>
    <w:r>
      <w:rPr>
        <w:rFonts w:ascii="Arial Narrow" w:hAnsi="Arial Narrow" w:cs="Arial Narrow"/>
        <w:sz w:val="18"/>
        <w:szCs w:val="18"/>
      </w:rPr>
      <w:tab/>
      <w:t>Directives pour l’année scolaire 2018-2019</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1"/>
    <w:lvl w:ilvl="0">
      <w:numFmt w:val="bullet"/>
      <w:lvlText w:val="-"/>
      <w:lvlJc w:val="left"/>
      <w:pPr>
        <w:tabs>
          <w:tab w:val="num" w:pos="2122"/>
        </w:tabs>
        <w:ind w:left="2122" w:hanging="420"/>
      </w:pPr>
      <w:rPr>
        <w:rFonts w:ascii="OpenSymbol" w:hAnsi="OpenSymbol"/>
      </w:rPr>
    </w:lvl>
  </w:abstractNum>
  <w:abstractNum w:abstractNumId="1" w15:restartNumberingAfterBreak="0">
    <w:nsid w:val="00000003"/>
    <w:multiLevelType w:val="singleLevel"/>
    <w:tmpl w:val="00000003"/>
    <w:name w:val="WW8Num2"/>
    <w:lvl w:ilvl="0">
      <w:start w:val="1"/>
      <w:numFmt w:val="bullet"/>
      <w:lvlText w:val=""/>
      <w:lvlJc w:val="left"/>
      <w:pPr>
        <w:tabs>
          <w:tab w:val="num" w:pos="360"/>
        </w:tabs>
        <w:ind w:left="360" w:hanging="360"/>
      </w:pPr>
      <w:rPr>
        <w:rFonts w:ascii="Symbol" w:hAnsi="Symbol"/>
      </w:rPr>
    </w:lvl>
  </w:abstractNum>
  <w:abstractNum w:abstractNumId="2" w15:restartNumberingAfterBreak="0">
    <w:nsid w:val="00000004"/>
    <w:multiLevelType w:val="singleLevel"/>
    <w:tmpl w:val="00000004"/>
    <w:name w:val="WW8Num3"/>
    <w:lvl w:ilvl="0">
      <w:start w:val="1"/>
      <w:numFmt w:val="bullet"/>
      <w:lvlText w:val=""/>
      <w:lvlJc w:val="left"/>
      <w:pPr>
        <w:tabs>
          <w:tab w:val="num" w:pos="360"/>
        </w:tabs>
        <w:ind w:left="360" w:hanging="360"/>
      </w:pPr>
      <w:rPr>
        <w:rFonts w:ascii="Wingdings" w:hAnsi="Wingdings"/>
      </w:rPr>
    </w:lvl>
  </w:abstractNum>
  <w:abstractNum w:abstractNumId="3" w15:restartNumberingAfterBreak="0">
    <w:nsid w:val="00000005"/>
    <w:multiLevelType w:val="singleLevel"/>
    <w:tmpl w:val="00000005"/>
    <w:name w:val="WW8Num4"/>
    <w:lvl w:ilvl="0">
      <w:start w:val="1"/>
      <w:numFmt w:val="bullet"/>
      <w:lvlText w:val=""/>
      <w:lvlJc w:val="left"/>
      <w:pPr>
        <w:tabs>
          <w:tab w:val="num" w:pos="360"/>
        </w:tabs>
        <w:ind w:left="360" w:hanging="360"/>
      </w:pPr>
      <w:rPr>
        <w:rFonts w:ascii="Symbol" w:hAnsi="Symbol"/>
      </w:rPr>
    </w:lvl>
  </w:abstractNum>
  <w:abstractNum w:abstractNumId="4" w15:restartNumberingAfterBreak="0">
    <w:nsid w:val="00000007"/>
    <w:multiLevelType w:val="singleLevel"/>
    <w:tmpl w:val="00000007"/>
    <w:name w:val="WW8Num6"/>
    <w:lvl w:ilvl="0">
      <w:start w:val="1"/>
      <w:numFmt w:val="lowerLetter"/>
      <w:lvlText w:val="%1)"/>
      <w:lvlJc w:val="left"/>
      <w:pPr>
        <w:tabs>
          <w:tab w:val="num" w:pos="0"/>
        </w:tabs>
        <w:ind w:left="720" w:hanging="360"/>
      </w:pPr>
      <w:rPr>
        <w:rFonts w:cs="Times New Roman"/>
      </w:rPr>
    </w:lvl>
  </w:abstractNum>
  <w:abstractNum w:abstractNumId="5" w15:restartNumberingAfterBreak="0">
    <w:nsid w:val="00000008"/>
    <w:multiLevelType w:val="singleLevel"/>
    <w:tmpl w:val="00000008"/>
    <w:name w:val="WW8Num7"/>
    <w:lvl w:ilvl="0">
      <w:start w:val="1"/>
      <w:numFmt w:val="bullet"/>
      <w:lvlText w:val=""/>
      <w:lvlJc w:val="left"/>
      <w:pPr>
        <w:tabs>
          <w:tab w:val="num" w:pos="2138"/>
        </w:tabs>
        <w:ind w:left="2138" w:hanging="360"/>
      </w:pPr>
      <w:rPr>
        <w:rFonts w:ascii="Symbol" w:hAnsi="Symbol"/>
        <w:color w:val="auto"/>
        <w:sz w:val="16"/>
      </w:rPr>
    </w:lvl>
  </w:abstractNum>
  <w:abstractNum w:abstractNumId="6" w15:restartNumberingAfterBreak="0">
    <w:nsid w:val="0000000A"/>
    <w:multiLevelType w:val="singleLevel"/>
    <w:tmpl w:val="0000000A"/>
    <w:name w:val="WW8Num9"/>
    <w:lvl w:ilvl="0">
      <w:start w:val="1"/>
      <w:numFmt w:val="bullet"/>
      <w:lvlText w:val=""/>
      <w:lvlJc w:val="left"/>
      <w:pPr>
        <w:tabs>
          <w:tab w:val="num" w:pos="1783"/>
        </w:tabs>
        <w:ind w:left="1783" w:hanging="360"/>
      </w:pPr>
      <w:rPr>
        <w:rFonts w:ascii="Wingdings" w:hAnsi="Wingdings"/>
      </w:rPr>
    </w:lvl>
  </w:abstractNum>
  <w:abstractNum w:abstractNumId="7" w15:restartNumberingAfterBreak="0">
    <w:nsid w:val="0000000B"/>
    <w:multiLevelType w:val="singleLevel"/>
    <w:tmpl w:val="0000000B"/>
    <w:name w:val="WW8Num10"/>
    <w:lvl w:ilvl="0">
      <w:numFmt w:val="bullet"/>
      <w:lvlText w:val="-"/>
      <w:lvlJc w:val="left"/>
      <w:pPr>
        <w:tabs>
          <w:tab w:val="num" w:pos="1920"/>
        </w:tabs>
        <w:ind w:left="1920" w:hanging="360"/>
      </w:pPr>
      <w:rPr>
        <w:rFonts w:ascii="OpenSymbol" w:hAnsi="OpenSymbol"/>
      </w:rPr>
    </w:lvl>
  </w:abstractNum>
  <w:abstractNum w:abstractNumId="8" w15:restartNumberingAfterBreak="0">
    <w:nsid w:val="0000000C"/>
    <w:multiLevelType w:val="singleLevel"/>
    <w:tmpl w:val="0000000C"/>
    <w:name w:val="WW8Num11"/>
    <w:lvl w:ilvl="0">
      <w:start w:val="1"/>
      <w:numFmt w:val="bullet"/>
      <w:lvlText w:val=""/>
      <w:lvlJc w:val="left"/>
      <w:pPr>
        <w:tabs>
          <w:tab w:val="num" w:pos="360"/>
        </w:tabs>
        <w:ind w:left="360" w:hanging="360"/>
      </w:pPr>
      <w:rPr>
        <w:rFonts w:ascii="Symbol" w:hAnsi="Symbol"/>
      </w:rPr>
    </w:lvl>
  </w:abstractNum>
  <w:abstractNum w:abstractNumId="9" w15:restartNumberingAfterBreak="0">
    <w:nsid w:val="0000000D"/>
    <w:multiLevelType w:val="singleLevel"/>
    <w:tmpl w:val="0000000D"/>
    <w:name w:val="WW8Num12"/>
    <w:lvl w:ilvl="0">
      <w:start w:val="1"/>
      <w:numFmt w:val="lowerLetter"/>
      <w:lvlText w:val="%1)"/>
      <w:lvlJc w:val="left"/>
      <w:pPr>
        <w:tabs>
          <w:tab w:val="num" w:pos="0"/>
        </w:tabs>
        <w:ind w:left="720" w:hanging="360"/>
      </w:pPr>
      <w:rPr>
        <w:rFonts w:cs="Times New Roman"/>
        <w:b w:val="0"/>
      </w:rPr>
    </w:lvl>
  </w:abstractNum>
  <w:abstractNum w:abstractNumId="10" w15:restartNumberingAfterBreak="0">
    <w:nsid w:val="0000000E"/>
    <w:multiLevelType w:val="singleLevel"/>
    <w:tmpl w:val="0000000E"/>
    <w:name w:val="WW8Num13"/>
    <w:lvl w:ilvl="0">
      <w:start w:val="1"/>
      <w:numFmt w:val="bullet"/>
      <w:lvlText w:val="-"/>
      <w:lvlJc w:val="left"/>
      <w:pPr>
        <w:tabs>
          <w:tab w:val="num" w:pos="360"/>
        </w:tabs>
        <w:ind w:left="360" w:hanging="360"/>
      </w:pPr>
      <w:rPr>
        <w:rFonts w:ascii="Arial" w:hAnsi="Arial"/>
      </w:rPr>
    </w:lvl>
  </w:abstractNum>
  <w:abstractNum w:abstractNumId="11" w15:restartNumberingAfterBreak="0">
    <w:nsid w:val="0000000F"/>
    <w:multiLevelType w:val="singleLevel"/>
    <w:tmpl w:val="0000000F"/>
    <w:name w:val="WW8Num14"/>
    <w:lvl w:ilvl="0">
      <w:numFmt w:val="bullet"/>
      <w:lvlText w:val="-"/>
      <w:lvlJc w:val="left"/>
      <w:pPr>
        <w:tabs>
          <w:tab w:val="num" w:pos="205"/>
        </w:tabs>
        <w:ind w:left="205" w:hanging="420"/>
      </w:pPr>
      <w:rPr>
        <w:rFonts w:ascii="OpenSymbol" w:hAnsi="OpenSymbol"/>
      </w:rPr>
    </w:lvl>
  </w:abstractNum>
  <w:abstractNum w:abstractNumId="12" w15:restartNumberingAfterBreak="0">
    <w:nsid w:val="00000010"/>
    <w:multiLevelType w:val="singleLevel"/>
    <w:tmpl w:val="00000010"/>
    <w:name w:val="WW8Num15"/>
    <w:lvl w:ilvl="0">
      <w:start w:val="1"/>
      <w:numFmt w:val="bullet"/>
      <w:lvlText w:val=""/>
      <w:lvlJc w:val="left"/>
      <w:pPr>
        <w:tabs>
          <w:tab w:val="num" w:pos="360"/>
        </w:tabs>
        <w:ind w:left="360" w:hanging="360"/>
      </w:pPr>
      <w:rPr>
        <w:rFonts w:ascii="Symbol" w:hAnsi="Symbol"/>
      </w:rPr>
    </w:lvl>
  </w:abstractNum>
  <w:abstractNum w:abstractNumId="13" w15:restartNumberingAfterBreak="0">
    <w:nsid w:val="00000011"/>
    <w:multiLevelType w:val="singleLevel"/>
    <w:tmpl w:val="00000011"/>
    <w:name w:val="WW8Num16"/>
    <w:lvl w:ilvl="0">
      <w:start w:val="1"/>
      <w:numFmt w:val="bullet"/>
      <w:lvlText w:val=""/>
      <w:lvlJc w:val="left"/>
      <w:pPr>
        <w:tabs>
          <w:tab w:val="num" w:pos="360"/>
        </w:tabs>
        <w:ind w:left="360" w:hanging="360"/>
      </w:pPr>
      <w:rPr>
        <w:rFonts w:ascii="Symbol" w:hAnsi="Symbol"/>
      </w:rPr>
    </w:lvl>
  </w:abstractNum>
  <w:abstractNum w:abstractNumId="14" w15:restartNumberingAfterBreak="0">
    <w:nsid w:val="00000012"/>
    <w:multiLevelType w:val="singleLevel"/>
    <w:tmpl w:val="00000012"/>
    <w:name w:val="WW8Num17"/>
    <w:lvl w:ilvl="0">
      <w:start w:val="1"/>
      <w:numFmt w:val="bullet"/>
      <w:lvlText w:val=""/>
      <w:lvlJc w:val="left"/>
      <w:pPr>
        <w:tabs>
          <w:tab w:val="num" w:pos="360"/>
        </w:tabs>
        <w:ind w:left="360" w:hanging="360"/>
      </w:pPr>
      <w:rPr>
        <w:rFonts w:ascii="Symbol" w:hAnsi="Symbol"/>
      </w:rPr>
    </w:lvl>
  </w:abstractNum>
  <w:abstractNum w:abstractNumId="15" w15:restartNumberingAfterBreak="0">
    <w:nsid w:val="00000013"/>
    <w:multiLevelType w:val="singleLevel"/>
    <w:tmpl w:val="00000013"/>
    <w:name w:val="WW8Num18"/>
    <w:lvl w:ilvl="0">
      <w:start w:val="1"/>
      <w:numFmt w:val="bullet"/>
      <w:lvlText w:val=""/>
      <w:lvlJc w:val="left"/>
      <w:pPr>
        <w:tabs>
          <w:tab w:val="num" w:pos="360"/>
        </w:tabs>
        <w:ind w:left="360" w:hanging="360"/>
      </w:pPr>
      <w:rPr>
        <w:rFonts w:ascii="Symbol" w:hAnsi="Symbol"/>
      </w:rPr>
    </w:lvl>
  </w:abstractNum>
  <w:abstractNum w:abstractNumId="16" w15:restartNumberingAfterBreak="0">
    <w:nsid w:val="00000014"/>
    <w:multiLevelType w:val="singleLevel"/>
    <w:tmpl w:val="00000014"/>
    <w:name w:val="WW8Num19"/>
    <w:lvl w:ilvl="0">
      <w:start w:val="1"/>
      <w:numFmt w:val="bullet"/>
      <w:lvlText w:val="-"/>
      <w:lvlJc w:val="left"/>
      <w:pPr>
        <w:tabs>
          <w:tab w:val="num" w:pos="360"/>
        </w:tabs>
        <w:ind w:left="360" w:hanging="360"/>
      </w:pPr>
      <w:rPr>
        <w:rFonts w:ascii="Arial" w:hAnsi="Arial"/>
      </w:rPr>
    </w:lvl>
  </w:abstractNum>
  <w:abstractNum w:abstractNumId="17" w15:restartNumberingAfterBreak="0">
    <w:nsid w:val="00000016"/>
    <w:multiLevelType w:val="singleLevel"/>
    <w:tmpl w:val="00000016"/>
    <w:name w:val="WW8Num21"/>
    <w:lvl w:ilvl="0">
      <w:start w:val="1"/>
      <w:numFmt w:val="bullet"/>
      <w:lvlText w:val=""/>
      <w:lvlJc w:val="left"/>
      <w:pPr>
        <w:tabs>
          <w:tab w:val="num" w:pos="360"/>
        </w:tabs>
        <w:ind w:left="360" w:hanging="360"/>
      </w:pPr>
      <w:rPr>
        <w:rFonts w:ascii="Symbol" w:hAnsi="Symbol"/>
      </w:rPr>
    </w:lvl>
  </w:abstractNum>
  <w:abstractNum w:abstractNumId="18" w15:restartNumberingAfterBreak="0">
    <w:nsid w:val="00000017"/>
    <w:multiLevelType w:val="singleLevel"/>
    <w:tmpl w:val="00000017"/>
    <w:name w:val="WW8Num22"/>
    <w:lvl w:ilvl="0">
      <w:start w:val="1"/>
      <w:numFmt w:val="decimal"/>
      <w:lvlText w:val="(%1)"/>
      <w:lvlJc w:val="left"/>
      <w:pPr>
        <w:tabs>
          <w:tab w:val="num" w:pos="1761"/>
        </w:tabs>
        <w:ind w:left="1761" w:hanging="420"/>
      </w:pPr>
      <w:rPr>
        <w:rFonts w:cs="Times New Roman"/>
      </w:rPr>
    </w:lvl>
  </w:abstractNum>
  <w:abstractNum w:abstractNumId="19" w15:restartNumberingAfterBreak="0">
    <w:nsid w:val="00000019"/>
    <w:multiLevelType w:val="singleLevel"/>
    <w:tmpl w:val="00000019"/>
    <w:name w:val="WW8Num24"/>
    <w:lvl w:ilvl="0">
      <w:start w:val="1"/>
      <w:numFmt w:val="bullet"/>
      <w:lvlText w:val=""/>
      <w:lvlJc w:val="left"/>
      <w:pPr>
        <w:tabs>
          <w:tab w:val="num" w:pos="360"/>
        </w:tabs>
        <w:ind w:left="360" w:hanging="360"/>
      </w:pPr>
      <w:rPr>
        <w:rFonts w:ascii="Symbol" w:hAnsi="Symbol"/>
      </w:rPr>
    </w:lvl>
  </w:abstractNum>
  <w:abstractNum w:abstractNumId="20" w15:restartNumberingAfterBreak="0">
    <w:nsid w:val="0000001A"/>
    <w:multiLevelType w:val="singleLevel"/>
    <w:tmpl w:val="0000001A"/>
    <w:name w:val="WW8Num25"/>
    <w:lvl w:ilvl="0">
      <w:start w:val="1"/>
      <w:numFmt w:val="bullet"/>
      <w:lvlText w:val=""/>
      <w:lvlJc w:val="left"/>
      <w:pPr>
        <w:tabs>
          <w:tab w:val="num" w:pos="360"/>
        </w:tabs>
        <w:ind w:left="360" w:hanging="360"/>
      </w:pPr>
      <w:rPr>
        <w:rFonts w:ascii="Symbol" w:hAnsi="Symbol"/>
      </w:rPr>
    </w:lvl>
  </w:abstractNum>
  <w:abstractNum w:abstractNumId="21" w15:restartNumberingAfterBreak="0">
    <w:nsid w:val="0000001B"/>
    <w:multiLevelType w:val="singleLevel"/>
    <w:tmpl w:val="0000001B"/>
    <w:name w:val="WW8Num26"/>
    <w:lvl w:ilvl="0">
      <w:start w:val="1"/>
      <w:numFmt w:val="bullet"/>
      <w:lvlText w:val=""/>
      <w:lvlJc w:val="left"/>
      <w:pPr>
        <w:tabs>
          <w:tab w:val="num" w:pos="360"/>
        </w:tabs>
        <w:ind w:left="360" w:hanging="360"/>
      </w:pPr>
      <w:rPr>
        <w:rFonts w:ascii="Symbol" w:hAnsi="Symbol"/>
      </w:rPr>
    </w:lvl>
  </w:abstractNum>
  <w:abstractNum w:abstractNumId="22" w15:restartNumberingAfterBreak="0">
    <w:nsid w:val="0000001C"/>
    <w:multiLevelType w:val="singleLevel"/>
    <w:tmpl w:val="0000001C"/>
    <w:name w:val="WW8Num27"/>
    <w:lvl w:ilvl="0">
      <w:start w:val="1"/>
      <w:numFmt w:val="bullet"/>
      <w:lvlText w:val=""/>
      <w:lvlJc w:val="left"/>
      <w:pPr>
        <w:tabs>
          <w:tab w:val="num" w:pos="360"/>
        </w:tabs>
        <w:ind w:left="360" w:hanging="360"/>
      </w:pPr>
      <w:rPr>
        <w:rFonts w:ascii="Symbol" w:hAnsi="Symbol"/>
      </w:rPr>
    </w:lvl>
  </w:abstractNum>
  <w:abstractNum w:abstractNumId="23" w15:restartNumberingAfterBreak="0">
    <w:nsid w:val="0000001D"/>
    <w:multiLevelType w:val="singleLevel"/>
    <w:tmpl w:val="0000001D"/>
    <w:name w:val="WW8Num28"/>
    <w:lvl w:ilvl="0">
      <w:start w:val="1"/>
      <w:numFmt w:val="bullet"/>
      <w:lvlText w:val=""/>
      <w:lvlJc w:val="left"/>
      <w:pPr>
        <w:tabs>
          <w:tab w:val="num" w:pos="360"/>
        </w:tabs>
        <w:ind w:left="360" w:hanging="360"/>
      </w:pPr>
      <w:rPr>
        <w:rFonts w:ascii="Symbol" w:hAnsi="Symbol"/>
      </w:rPr>
    </w:lvl>
  </w:abstractNum>
  <w:abstractNum w:abstractNumId="24" w15:restartNumberingAfterBreak="0">
    <w:nsid w:val="0000001E"/>
    <w:multiLevelType w:val="singleLevel"/>
    <w:tmpl w:val="0000001E"/>
    <w:name w:val="WW8Num29"/>
    <w:lvl w:ilvl="0">
      <w:start w:val="1"/>
      <w:numFmt w:val="bullet"/>
      <w:lvlText w:val=""/>
      <w:lvlJc w:val="left"/>
      <w:pPr>
        <w:tabs>
          <w:tab w:val="num" w:pos="360"/>
        </w:tabs>
        <w:ind w:left="360" w:hanging="360"/>
      </w:pPr>
      <w:rPr>
        <w:rFonts w:ascii="Symbol" w:hAnsi="Symbol"/>
      </w:rPr>
    </w:lvl>
  </w:abstractNum>
  <w:abstractNum w:abstractNumId="25" w15:restartNumberingAfterBreak="0">
    <w:nsid w:val="0000001F"/>
    <w:multiLevelType w:val="singleLevel"/>
    <w:tmpl w:val="0000001F"/>
    <w:name w:val="WW8Num30"/>
    <w:lvl w:ilvl="0">
      <w:start w:val="1"/>
      <w:numFmt w:val="bullet"/>
      <w:lvlText w:val=""/>
      <w:lvlJc w:val="left"/>
      <w:pPr>
        <w:tabs>
          <w:tab w:val="num" w:pos="360"/>
        </w:tabs>
        <w:ind w:left="360" w:hanging="360"/>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360"/>
        </w:tabs>
        <w:ind w:left="360" w:hanging="360"/>
      </w:pPr>
      <w:rPr>
        <w:rFonts w:ascii="Arial" w:hAnsi="Arial"/>
      </w:rPr>
    </w:lvl>
  </w:abstractNum>
  <w:abstractNum w:abstractNumId="27" w15:restartNumberingAfterBreak="0">
    <w:nsid w:val="00000022"/>
    <w:multiLevelType w:val="singleLevel"/>
    <w:tmpl w:val="00000022"/>
    <w:name w:val="WW8Num33"/>
    <w:lvl w:ilvl="0">
      <w:start w:val="1"/>
      <w:numFmt w:val="bullet"/>
      <w:lvlText w:val=""/>
      <w:lvlJc w:val="left"/>
      <w:pPr>
        <w:tabs>
          <w:tab w:val="num" w:pos="360"/>
        </w:tabs>
        <w:ind w:left="360" w:hanging="360"/>
      </w:pPr>
      <w:rPr>
        <w:rFonts w:ascii="Symbol" w:hAnsi="Symbol"/>
      </w:rPr>
    </w:lvl>
  </w:abstractNum>
  <w:abstractNum w:abstractNumId="28" w15:restartNumberingAfterBreak="0">
    <w:nsid w:val="00000023"/>
    <w:multiLevelType w:val="singleLevel"/>
    <w:tmpl w:val="00000023"/>
    <w:name w:val="WW8Num34"/>
    <w:lvl w:ilvl="0">
      <w:start w:val="2"/>
      <w:numFmt w:val="bullet"/>
      <w:lvlText w:val="-"/>
      <w:lvlJc w:val="left"/>
      <w:pPr>
        <w:tabs>
          <w:tab w:val="num" w:pos="2488"/>
        </w:tabs>
        <w:ind w:left="2488" w:hanging="360"/>
      </w:pPr>
      <w:rPr>
        <w:rFonts w:ascii="Book Antiqua" w:hAnsi="Book Antiqua"/>
      </w:rPr>
    </w:lvl>
  </w:abstractNum>
  <w:abstractNum w:abstractNumId="29" w15:restartNumberingAfterBreak="0">
    <w:nsid w:val="00000024"/>
    <w:multiLevelType w:val="singleLevel"/>
    <w:tmpl w:val="00000024"/>
    <w:name w:val="WW8Num35"/>
    <w:lvl w:ilvl="0">
      <w:start w:val="1"/>
      <w:numFmt w:val="bullet"/>
      <w:lvlText w:val=""/>
      <w:lvlJc w:val="left"/>
      <w:pPr>
        <w:tabs>
          <w:tab w:val="num" w:pos="360"/>
        </w:tabs>
        <w:ind w:left="360" w:hanging="360"/>
      </w:pPr>
      <w:rPr>
        <w:rFonts w:ascii="Symbol" w:hAnsi="Symbol"/>
      </w:rPr>
    </w:lvl>
  </w:abstractNum>
  <w:abstractNum w:abstractNumId="30" w15:restartNumberingAfterBreak="0">
    <w:nsid w:val="00000025"/>
    <w:multiLevelType w:val="singleLevel"/>
    <w:tmpl w:val="00000025"/>
    <w:name w:val="WW8Num36"/>
    <w:lvl w:ilvl="0">
      <w:start w:val="1"/>
      <w:numFmt w:val="bullet"/>
      <w:lvlText w:val=""/>
      <w:lvlJc w:val="left"/>
      <w:pPr>
        <w:tabs>
          <w:tab w:val="num" w:pos="360"/>
        </w:tabs>
        <w:ind w:left="360" w:hanging="360"/>
      </w:pPr>
      <w:rPr>
        <w:rFonts w:ascii="Symbol" w:hAnsi="Symbol"/>
      </w:rPr>
    </w:lvl>
  </w:abstractNum>
  <w:abstractNum w:abstractNumId="31" w15:restartNumberingAfterBreak="0">
    <w:nsid w:val="00000026"/>
    <w:multiLevelType w:val="singleLevel"/>
    <w:tmpl w:val="00000026"/>
    <w:name w:val="WW8Num37"/>
    <w:lvl w:ilvl="0">
      <w:start w:val="1"/>
      <w:numFmt w:val="decimal"/>
      <w:lvlText w:val="(%1)"/>
      <w:lvlJc w:val="left"/>
      <w:pPr>
        <w:tabs>
          <w:tab w:val="num" w:pos="0"/>
        </w:tabs>
        <w:ind w:left="720" w:hanging="360"/>
      </w:pPr>
      <w:rPr>
        <w:rFonts w:cs="Times New Roman"/>
      </w:rPr>
    </w:lvl>
  </w:abstractNum>
  <w:abstractNum w:abstractNumId="32" w15:restartNumberingAfterBreak="0">
    <w:nsid w:val="00000027"/>
    <w:multiLevelType w:val="singleLevel"/>
    <w:tmpl w:val="00000027"/>
    <w:name w:val="WW8Num39"/>
    <w:lvl w:ilvl="0">
      <w:start w:val="1"/>
      <w:numFmt w:val="bullet"/>
      <w:lvlText w:val=""/>
      <w:lvlJc w:val="left"/>
      <w:pPr>
        <w:tabs>
          <w:tab w:val="num" w:pos="1004"/>
        </w:tabs>
        <w:ind w:left="1004" w:hanging="360"/>
      </w:pPr>
      <w:rPr>
        <w:rFonts w:ascii="Symbol" w:hAnsi="Symbol"/>
      </w:rPr>
    </w:lvl>
  </w:abstractNum>
  <w:abstractNum w:abstractNumId="33" w15:restartNumberingAfterBreak="0">
    <w:nsid w:val="00000028"/>
    <w:multiLevelType w:val="singleLevel"/>
    <w:tmpl w:val="00000028"/>
    <w:name w:val="WW8Num40"/>
    <w:lvl w:ilvl="0">
      <w:start w:val="1"/>
      <w:numFmt w:val="bullet"/>
      <w:lvlText w:val=""/>
      <w:lvlJc w:val="left"/>
      <w:pPr>
        <w:tabs>
          <w:tab w:val="num" w:pos="1069"/>
        </w:tabs>
        <w:ind w:left="1069" w:hanging="360"/>
      </w:pPr>
      <w:rPr>
        <w:rFonts w:ascii="Symbol" w:hAnsi="Symbol"/>
      </w:rPr>
    </w:lvl>
  </w:abstractNum>
  <w:abstractNum w:abstractNumId="34" w15:restartNumberingAfterBreak="0">
    <w:nsid w:val="00000029"/>
    <w:multiLevelType w:val="singleLevel"/>
    <w:tmpl w:val="00000029"/>
    <w:name w:val="WW8Num41"/>
    <w:lvl w:ilvl="0">
      <w:start w:val="1"/>
      <w:numFmt w:val="bullet"/>
      <w:lvlText w:val=""/>
      <w:lvlJc w:val="left"/>
      <w:pPr>
        <w:tabs>
          <w:tab w:val="num" w:pos="360"/>
        </w:tabs>
        <w:ind w:left="360" w:hanging="360"/>
      </w:pPr>
      <w:rPr>
        <w:rFonts w:ascii="Wingdings" w:hAnsi="Wingdings"/>
      </w:rPr>
    </w:lvl>
  </w:abstractNum>
  <w:abstractNum w:abstractNumId="35" w15:restartNumberingAfterBreak="0">
    <w:nsid w:val="0000002B"/>
    <w:multiLevelType w:val="singleLevel"/>
    <w:tmpl w:val="0000002B"/>
    <w:name w:val="WW8Num43"/>
    <w:lvl w:ilvl="0">
      <w:start w:val="1"/>
      <w:numFmt w:val="bullet"/>
      <w:lvlText w:val=""/>
      <w:lvlJc w:val="left"/>
      <w:pPr>
        <w:tabs>
          <w:tab w:val="num" w:pos="1778"/>
        </w:tabs>
        <w:ind w:left="1778" w:hanging="360"/>
      </w:pPr>
      <w:rPr>
        <w:rFonts w:ascii="Wingdings" w:hAnsi="Wingdings"/>
      </w:rPr>
    </w:lvl>
  </w:abstractNum>
  <w:abstractNum w:abstractNumId="36" w15:restartNumberingAfterBreak="0">
    <w:nsid w:val="0000002C"/>
    <w:multiLevelType w:val="singleLevel"/>
    <w:tmpl w:val="0000002C"/>
    <w:name w:val="WW8Num44"/>
    <w:lvl w:ilvl="0">
      <w:start w:val="1"/>
      <w:numFmt w:val="bullet"/>
      <w:lvlText w:val=""/>
      <w:lvlJc w:val="left"/>
      <w:pPr>
        <w:tabs>
          <w:tab w:val="num" w:pos="360"/>
        </w:tabs>
        <w:ind w:left="113" w:hanging="113"/>
      </w:pPr>
      <w:rPr>
        <w:rFonts w:ascii="Symbol" w:hAnsi="Symbol"/>
      </w:rPr>
    </w:lvl>
  </w:abstractNum>
  <w:abstractNum w:abstractNumId="37" w15:restartNumberingAfterBreak="0">
    <w:nsid w:val="0000002D"/>
    <w:multiLevelType w:val="multilevel"/>
    <w:tmpl w:val="0000002D"/>
    <w:name w:val="WW8Num45"/>
    <w:lvl w:ilvl="0">
      <w:start w:val="1"/>
      <w:numFmt w:val="decimal"/>
      <w:lvlText w:val="(%1)"/>
      <w:lvlJc w:val="left"/>
      <w:pPr>
        <w:tabs>
          <w:tab w:val="num" w:pos="0"/>
        </w:tabs>
        <w:ind w:left="720" w:hanging="360"/>
      </w:pPr>
      <w:rPr>
        <w:rFonts w:cs="Times New Roman"/>
      </w:rPr>
    </w:lvl>
    <w:lvl w:ilvl="1">
      <w:start w:val="1"/>
      <w:numFmt w:val="bullet"/>
      <w:lvlText w:val=""/>
      <w:lvlJc w:val="left"/>
      <w:pPr>
        <w:tabs>
          <w:tab w:val="num" w:pos="0"/>
        </w:tabs>
        <w:ind w:left="1440" w:hanging="360"/>
      </w:pPr>
      <w:rPr>
        <w:rFonts w:ascii="Symbol" w:hAnsi="Symbol"/>
      </w:rPr>
    </w:lvl>
    <w:lvl w:ilvl="2">
      <w:start w:val="1"/>
      <w:numFmt w:val="lowerRoman"/>
      <w:lvlText w:val="%3."/>
      <w:lvlJc w:val="lef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lef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left"/>
      <w:pPr>
        <w:tabs>
          <w:tab w:val="num" w:pos="0"/>
        </w:tabs>
        <w:ind w:left="6480" w:hanging="180"/>
      </w:pPr>
      <w:rPr>
        <w:rFonts w:cs="Times New Roman"/>
      </w:rPr>
    </w:lvl>
  </w:abstractNum>
  <w:abstractNum w:abstractNumId="38" w15:restartNumberingAfterBreak="0">
    <w:nsid w:val="0000002E"/>
    <w:multiLevelType w:val="singleLevel"/>
    <w:tmpl w:val="0000002E"/>
    <w:name w:val="WW8Num46"/>
    <w:lvl w:ilvl="0">
      <w:start w:val="1"/>
      <w:numFmt w:val="bullet"/>
      <w:lvlText w:val=""/>
      <w:lvlJc w:val="left"/>
      <w:pPr>
        <w:tabs>
          <w:tab w:val="num" w:pos="1004"/>
        </w:tabs>
        <w:ind w:left="1004" w:hanging="360"/>
      </w:pPr>
      <w:rPr>
        <w:rFonts w:ascii="Symbol" w:hAnsi="Symbol"/>
      </w:rPr>
    </w:lvl>
  </w:abstractNum>
  <w:abstractNum w:abstractNumId="39" w15:restartNumberingAfterBreak="0">
    <w:nsid w:val="0000002F"/>
    <w:multiLevelType w:val="singleLevel"/>
    <w:tmpl w:val="0000002F"/>
    <w:name w:val="WW8Num47"/>
    <w:lvl w:ilvl="0">
      <w:numFmt w:val="bullet"/>
      <w:lvlText w:val="-"/>
      <w:lvlJc w:val="left"/>
      <w:pPr>
        <w:tabs>
          <w:tab w:val="num" w:pos="1428"/>
        </w:tabs>
        <w:ind w:left="1428" w:hanging="360"/>
      </w:pPr>
      <w:rPr>
        <w:rFonts w:ascii="Book Antiqua" w:hAnsi="Book Antiqua"/>
      </w:rPr>
    </w:lvl>
  </w:abstractNum>
  <w:abstractNum w:abstractNumId="40" w15:restartNumberingAfterBreak="0">
    <w:nsid w:val="00000030"/>
    <w:multiLevelType w:val="singleLevel"/>
    <w:tmpl w:val="00000030"/>
    <w:name w:val="WW8Num48"/>
    <w:lvl w:ilvl="0">
      <w:start w:val="1"/>
      <w:numFmt w:val="bullet"/>
      <w:lvlText w:val=""/>
      <w:lvlJc w:val="left"/>
      <w:pPr>
        <w:tabs>
          <w:tab w:val="num" w:pos="2471"/>
        </w:tabs>
        <w:ind w:left="2471" w:hanging="360"/>
      </w:pPr>
      <w:rPr>
        <w:rFonts w:ascii="Symbol" w:hAnsi="Symbol"/>
      </w:rPr>
    </w:lvl>
  </w:abstractNum>
  <w:abstractNum w:abstractNumId="41"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Symbol" w:hAnsi="Symbol"/>
      </w:rPr>
    </w:lvl>
  </w:abstractNum>
  <w:abstractNum w:abstractNumId="42" w15:restartNumberingAfterBreak="0">
    <w:nsid w:val="00000032"/>
    <w:multiLevelType w:val="singleLevel"/>
    <w:tmpl w:val="00000032"/>
    <w:name w:val="WW8Num50"/>
    <w:lvl w:ilvl="0">
      <w:start w:val="1"/>
      <w:numFmt w:val="bullet"/>
      <w:lvlText w:val=""/>
      <w:lvlJc w:val="left"/>
      <w:pPr>
        <w:tabs>
          <w:tab w:val="num" w:pos="1778"/>
        </w:tabs>
        <w:ind w:left="1778" w:hanging="360"/>
      </w:pPr>
      <w:rPr>
        <w:rFonts w:ascii="Wingdings" w:hAnsi="Wingdings"/>
      </w:rPr>
    </w:lvl>
  </w:abstractNum>
  <w:abstractNum w:abstractNumId="43" w15:restartNumberingAfterBreak="0">
    <w:nsid w:val="00000034"/>
    <w:multiLevelType w:val="singleLevel"/>
    <w:tmpl w:val="00000034"/>
    <w:name w:val="WW8Num52"/>
    <w:lvl w:ilvl="0">
      <w:start w:val="1"/>
      <w:numFmt w:val="bullet"/>
      <w:lvlText w:val=""/>
      <w:lvlJc w:val="left"/>
      <w:pPr>
        <w:tabs>
          <w:tab w:val="num" w:pos="360"/>
        </w:tabs>
        <w:ind w:left="360" w:hanging="360"/>
      </w:pPr>
      <w:rPr>
        <w:rFonts w:ascii="Symbol" w:hAnsi="Symbol"/>
      </w:rPr>
    </w:lvl>
  </w:abstractNum>
  <w:abstractNum w:abstractNumId="44" w15:restartNumberingAfterBreak="0">
    <w:nsid w:val="00000036"/>
    <w:multiLevelType w:val="singleLevel"/>
    <w:tmpl w:val="00000036"/>
    <w:name w:val="WW8Num54"/>
    <w:lvl w:ilvl="0">
      <w:start w:val="1"/>
      <w:numFmt w:val="bullet"/>
      <w:lvlText w:val=""/>
      <w:lvlJc w:val="left"/>
      <w:pPr>
        <w:tabs>
          <w:tab w:val="num" w:pos="1069"/>
        </w:tabs>
        <w:ind w:left="1069" w:hanging="360"/>
      </w:pPr>
      <w:rPr>
        <w:rFonts w:ascii="Wingdings" w:hAnsi="Wingdings"/>
        <w:color w:val="auto"/>
      </w:rPr>
    </w:lvl>
  </w:abstractNum>
  <w:abstractNum w:abstractNumId="45" w15:restartNumberingAfterBreak="0">
    <w:nsid w:val="0A2029F3"/>
    <w:multiLevelType w:val="hybridMultilevel"/>
    <w:tmpl w:val="5620A3D4"/>
    <w:lvl w:ilvl="0" w:tplc="040C000B">
      <w:start w:val="1"/>
      <w:numFmt w:val="bullet"/>
      <w:lvlText w:val=""/>
      <w:lvlJc w:val="left"/>
      <w:pPr>
        <w:tabs>
          <w:tab w:val="num" w:pos="1778"/>
        </w:tabs>
        <w:ind w:left="1778" w:hanging="360"/>
      </w:pPr>
      <w:rPr>
        <w:rFonts w:ascii="Wingdings" w:hAnsi="Wingdings" w:hint="default"/>
      </w:rPr>
    </w:lvl>
    <w:lvl w:ilvl="1" w:tplc="040C0003">
      <w:start w:val="1"/>
      <w:numFmt w:val="bullet"/>
      <w:lvlText w:val="o"/>
      <w:lvlJc w:val="left"/>
      <w:pPr>
        <w:tabs>
          <w:tab w:val="num" w:pos="2498"/>
        </w:tabs>
        <w:ind w:left="2498" w:hanging="360"/>
      </w:pPr>
      <w:rPr>
        <w:rFonts w:ascii="Courier New" w:hAnsi="Courier New" w:hint="default"/>
      </w:rPr>
    </w:lvl>
    <w:lvl w:ilvl="2" w:tplc="040C0005" w:tentative="1">
      <w:start w:val="1"/>
      <w:numFmt w:val="bullet"/>
      <w:lvlText w:val=""/>
      <w:lvlJc w:val="left"/>
      <w:pPr>
        <w:tabs>
          <w:tab w:val="num" w:pos="3218"/>
        </w:tabs>
        <w:ind w:left="3218" w:hanging="360"/>
      </w:pPr>
      <w:rPr>
        <w:rFonts w:ascii="Wingdings" w:hAnsi="Wingdings" w:hint="default"/>
      </w:rPr>
    </w:lvl>
    <w:lvl w:ilvl="3" w:tplc="040C0001" w:tentative="1">
      <w:start w:val="1"/>
      <w:numFmt w:val="bullet"/>
      <w:lvlText w:val=""/>
      <w:lvlJc w:val="left"/>
      <w:pPr>
        <w:tabs>
          <w:tab w:val="num" w:pos="3938"/>
        </w:tabs>
        <w:ind w:left="3938" w:hanging="360"/>
      </w:pPr>
      <w:rPr>
        <w:rFonts w:ascii="Symbol" w:hAnsi="Symbol" w:hint="default"/>
      </w:rPr>
    </w:lvl>
    <w:lvl w:ilvl="4" w:tplc="040C0003" w:tentative="1">
      <w:start w:val="1"/>
      <w:numFmt w:val="bullet"/>
      <w:lvlText w:val="o"/>
      <w:lvlJc w:val="left"/>
      <w:pPr>
        <w:tabs>
          <w:tab w:val="num" w:pos="4658"/>
        </w:tabs>
        <w:ind w:left="4658" w:hanging="360"/>
      </w:pPr>
      <w:rPr>
        <w:rFonts w:ascii="Courier New" w:hAnsi="Courier New" w:hint="default"/>
      </w:rPr>
    </w:lvl>
    <w:lvl w:ilvl="5" w:tplc="040C0005" w:tentative="1">
      <w:start w:val="1"/>
      <w:numFmt w:val="bullet"/>
      <w:lvlText w:val=""/>
      <w:lvlJc w:val="left"/>
      <w:pPr>
        <w:tabs>
          <w:tab w:val="num" w:pos="5378"/>
        </w:tabs>
        <w:ind w:left="5378" w:hanging="360"/>
      </w:pPr>
      <w:rPr>
        <w:rFonts w:ascii="Wingdings" w:hAnsi="Wingdings" w:hint="default"/>
      </w:rPr>
    </w:lvl>
    <w:lvl w:ilvl="6" w:tplc="040C0001" w:tentative="1">
      <w:start w:val="1"/>
      <w:numFmt w:val="bullet"/>
      <w:lvlText w:val=""/>
      <w:lvlJc w:val="left"/>
      <w:pPr>
        <w:tabs>
          <w:tab w:val="num" w:pos="6098"/>
        </w:tabs>
        <w:ind w:left="6098" w:hanging="360"/>
      </w:pPr>
      <w:rPr>
        <w:rFonts w:ascii="Symbol" w:hAnsi="Symbol" w:hint="default"/>
      </w:rPr>
    </w:lvl>
    <w:lvl w:ilvl="7" w:tplc="040C0003" w:tentative="1">
      <w:start w:val="1"/>
      <w:numFmt w:val="bullet"/>
      <w:lvlText w:val="o"/>
      <w:lvlJc w:val="left"/>
      <w:pPr>
        <w:tabs>
          <w:tab w:val="num" w:pos="6818"/>
        </w:tabs>
        <w:ind w:left="6818" w:hanging="360"/>
      </w:pPr>
      <w:rPr>
        <w:rFonts w:ascii="Courier New" w:hAnsi="Courier New" w:hint="default"/>
      </w:rPr>
    </w:lvl>
    <w:lvl w:ilvl="8" w:tplc="040C0005" w:tentative="1">
      <w:start w:val="1"/>
      <w:numFmt w:val="bullet"/>
      <w:lvlText w:val=""/>
      <w:lvlJc w:val="left"/>
      <w:pPr>
        <w:tabs>
          <w:tab w:val="num" w:pos="7538"/>
        </w:tabs>
        <w:ind w:left="7538" w:hanging="360"/>
      </w:pPr>
      <w:rPr>
        <w:rFonts w:ascii="Wingdings" w:hAnsi="Wingdings" w:hint="default"/>
      </w:rPr>
    </w:lvl>
  </w:abstractNum>
  <w:abstractNum w:abstractNumId="46" w15:restartNumberingAfterBreak="0">
    <w:nsid w:val="1A4C079B"/>
    <w:multiLevelType w:val="hybridMultilevel"/>
    <w:tmpl w:val="7B0E3742"/>
    <w:lvl w:ilvl="0" w:tplc="DF22ABD4">
      <w:start w:val="1"/>
      <w:numFmt w:val="lowerLetter"/>
      <w:lvlText w:val="%1)"/>
      <w:lvlJc w:val="left"/>
      <w:pPr>
        <w:ind w:left="1068" w:hanging="360"/>
      </w:pPr>
      <w:rPr>
        <w:rFonts w:hint="default"/>
      </w:rPr>
    </w:lvl>
    <w:lvl w:ilvl="1" w:tplc="080C0019" w:tentative="1">
      <w:start w:val="1"/>
      <w:numFmt w:val="lowerLetter"/>
      <w:lvlText w:val="%2."/>
      <w:lvlJc w:val="left"/>
      <w:pPr>
        <w:ind w:left="1788" w:hanging="360"/>
      </w:pPr>
    </w:lvl>
    <w:lvl w:ilvl="2" w:tplc="080C001B" w:tentative="1">
      <w:start w:val="1"/>
      <w:numFmt w:val="lowerRoman"/>
      <w:lvlText w:val="%3."/>
      <w:lvlJc w:val="right"/>
      <w:pPr>
        <w:ind w:left="2508" w:hanging="180"/>
      </w:pPr>
    </w:lvl>
    <w:lvl w:ilvl="3" w:tplc="080C000F" w:tentative="1">
      <w:start w:val="1"/>
      <w:numFmt w:val="decimal"/>
      <w:lvlText w:val="%4."/>
      <w:lvlJc w:val="left"/>
      <w:pPr>
        <w:ind w:left="3228" w:hanging="360"/>
      </w:pPr>
    </w:lvl>
    <w:lvl w:ilvl="4" w:tplc="080C0019" w:tentative="1">
      <w:start w:val="1"/>
      <w:numFmt w:val="lowerLetter"/>
      <w:lvlText w:val="%5."/>
      <w:lvlJc w:val="left"/>
      <w:pPr>
        <w:ind w:left="3948" w:hanging="360"/>
      </w:pPr>
    </w:lvl>
    <w:lvl w:ilvl="5" w:tplc="080C001B" w:tentative="1">
      <w:start w:val="1"/>
      <w:numFmt w:val="lowerRoman"/>
      <w:lvlText w:val="%6."/>
      <w:lvlJc w:val="right"/>
      <w:pPr>
        <w:ind w:left="4668" w:hanging="180"/>
      </w:pPr>
    </w:lvl>
    <w:lvl w:ilvl="6" w:tplc="080C000F" w:tentative="1">
      <w:start w:val="1"/>
      <w:numFmt w:val="decimal"/>
      <w:lvlText w:val="%7."/>
      <w:lvlJc w:val="left"/>
      <w:pPr>
        <w:ind w:left="5388" w:hanging="360"/>
      </w:pPr>
    </w:lvl>
    <w:lvl w:ilvl="7" w:tplc="080C0019" w:tentative="1">
      <w:start w:val="1"/>
      <w:numFmt w:val="lowerLetter"/>
      <w:lvlText w:val="%8."/>
      <w:lvlJc w:val="left"/>
      <w:pPr>
        <w:ind w:left="6108" w:hanging="360"/>
      </w:pPr>
    </w:lvl>
    <w:lvl w:ilvl="8" w:tplc="080C001B" w:tentative="1">
      <w:start w:val="1"/>
      <w:numFmt w:val="lowerRoman"/>
      <w:lvlText w:val="%9."/>
      <w:lvlJc w:val="right"/>
      <w:pPr>
        <w:ind w:left="6828" w:hanging="180"/>
      </w:pPr>
    </w:lvl>
  </w:abstractNum>
  <w:abstractNum w:abstractNumId="47" w15:restartNumberingAfterBreak="0">
    <w:nsid w:val="1E9618D2"/>
    <w:multiLevelType w:val="hybridMultilevel"/>
    <w:tmpl w:val="DD40980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4593377"/>
    <w:multiLevelType w:val="hybridMultilevel"/>
    <w:tmpl w:val="4D04226A"/>
    <w:name w:val="WW8Num372"/>
    <w:lvl w:ilvl="0" w:tplc="00000026">
      <w:start w:val="1"/>
      <w:numFmt w:val="decimal"/>
      <w:lvlText w:val="(%1)"/>
      <w:lvlJc w:val="left"/>
      <w:pPr>
        <w:tabs>
          <w:tab w:val="num" w:pos="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26F65238"/>
    <w:multiLevelType w:val="hybridMultilevel"/>
    <w:tmpl w:val="CBE460DC"/>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7C45239"/>
    <w:multiLevelType w:val="hybridMultilevel"/>
    <w:tmpl w:val="5C0A3EF0"/>
    <w:lvl w:ilvl="0" w:tplc="4F641F12">
      <w:start w:val="1"/>
      <w:numFmt w:val="upperRoman"/>
      <w:lvlText w:val="%1."/>
      <w:lvlJc w:val="left"/>
      <w:pPr>
        <w:ind w:left="1429" w:hanging="720"/>
      </w:pPr>
      <w:rPr>
        <w:rFonts w:hint="default"/>
      </w:rPr>
    </w:lvl>
    <w:lvl w:ilvl="1" w:tplc="080C0019" w:tentative="1">
      <w:start w:val="1"/>
      <w:numFmt w:val="lowerLetter"/>
      <w:lvlText w:val="%2."/>
      <w:lvlJc w:val="left"/>
      <w:pPr>
        <w:ind w:left="1789" w:hanging="360"/>
      </w:pPr>
    </w:lvl>
    <w:lvl w:ilvl="2" w:tplc="080C001B" w:tentative="1">
      <w:start w:val="1"/>
      <w:numFmt w:val="lowerRoman"/>
      <w:lvlText w:val="%3."/>
      <w:lvlJc w:val="right"/>
      <w:pPr>
        <w:ind w:left="2509" w:hanging="180"/>
      </w:pPr>
    </w:lvl>
    <w:lvl w:ilvl="3" w:tplc="080C000F" w:tentative="1">
      <w:start w:val="1"/>
      <w:numFmt w:val="decimal"/>
      <w:lvlText w:val="%4."/>
      <w:lvlJc w:val="left"/>
      <w:pPr>
        <w:ind w:left="3229" w:hanging="360"/>
      </w:pPr>
    </w:lvl>
    <w:lvl w:ilvl="4" w:tplc="080C0019" w:tentative="1">
      <w:start w:val="1"/>
      <w:numFmt w:val="lowerLetter"/>
      <w:lvlText w:val="%5."/>
      <w:lvlJc w:val="left"/>
      <w:pPr>
        <w:ind w:left="3949" w:hanging="360"/>
      </w:pPr>
    </w:lvl>
    <w:lvl w:ilvl="5" w:tplc="080C001B" w:tentative="1">
      <w:start w:val="1"/>
      <w:numFmt w:val="lowerRoman"/>
      <w:lvlText w:val="%6."/>
      <w:lvlJc w:val="right"/>
      <w:pPr>
        <w:ind w:left="4669" w:hanging="180"/>
      </w:pPr>
    </w:lvl>
    <w:lvl w:ilvl="6" w:tplc="080C000F" w:tentative="1">
      <w:start w:val="1"/>
      <w:numFmt w:val="decimal"/>
      <w:lvlText w:val="%7."/>
      <w:lvlJc w:val="left"/>
      <w:pPr>
        <w:ind w:left="5389" w:hanging="360"/>
      </w:pPr>
    </w:lvl>
    <w:lvl w:ilvl="7" w:tplc="080C0019" w:tentative="1">
      <w:start w:val="1"/>
      <w:numFmt w:val="lowerLetter"/>
      <w:lvlText w:val="%8."/>
      <w:lvlJc w:val="left"/>
      <w:pPr>
        <w:ind w:left="6109" w:hanging="360"/>
      </w:pPr>
    </w:lvl>
    <w:lvl w:ilvl="8" w:tplc="080C001B" w:tentative="1">
      <w:start w:val="1"/>
      <w:numFmt w:val="lowerRoman"/>
      <w:lvlText w:val="%9."/>
      <w:lvlJc w:val="right"/>
      <w:pPr>
        <w:ind w:left="6829" w:hanging="180"/>
      </w:pPr>
    </w:lvl>
  </w:abstractNum>
  <w:abstractNum w:abstractNumId="51" w15:restartNumberingAfterBreak="0">
    <w:nsid w:val="296B2C6A"/>
    <w:multiLevelType w:val="hybridMultilevel"/>
    <w:tmpl w:val="33A83018"/>
    <w:lvl w:ilvl="0" w:tplc="040C000B">
      <w:start w:val="1"/>
      <w:numFmt w:val="bullet"/>
      <w:lvlText w:val=""/>
      <w:lvlJc w:val="left"/>
      <w:pPr>
        <w:tabs>
          <w:tab w:val="num" w:pos="720"/>
        </w:tabs>
        <w:ind w:left="720" w:hanging="360"/>
      </w:pPr>
      <w:rPr>
        <w:rFonts w:ascii="Wingdings" w:hAnsi="Wingdings" w:hint="default"/>
      </w:rPr>
    </w:lvl>
    <w:lvl w:ilvl="1" w:tplc="040C0001">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4805F26"/>
    <w:multiLevelType w:val="hybridMultilevel"/>
    <w:tmpl w:val="2C60CBE0"/>
    <w:lvl w:ilvl="0" w:tplc="E748374A">
      <w:start w:val="1"/>
      <w:numFmt w:val="upperLetter"/>
      <w:lvlText w:val="%1)"/>
      <w:lvlJc w:val="left"/>
      <w:pPr>
        <w:ind w:left="720" w:hanging="360"/>
      </w:pPr>
      <w:rPr>
        <w:rFonts w:ascii="Book Antiqua" w:hAnsi="Book Antiqua" w:hint="default"/>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3" w15:restartNumberingAfterBreak="0">
    <w:nsid w:val="3B87627E"/>
    <w:multiLevelType w:val="singleLevel"/>
    <w:tmpl w:val="1764B3D2"/>
    <w:lvl w:ilvl="0">
      <w:start w:val="2"/>
      <w:numFmt w:val="decimal"/>
      <w:lvlText w:val="%1."/>
      <w:lvlJc w:val="left"/>
      <w:pPr>
        <w:tabs>
          <w:tab w:val="num" w:pos="360"/>
        </w:tabs>
        <w:ind w:left="360" w:hanging="360"/>
      </w:pPr>
      <w:rPr>
        <w:rFonts w:cs="Times New Roman" w:hint="default"/>
      </w:rPr>
    </w:lvl>
  </w:abstractNum>
  <w:abstractNum w:abstractNumId="54" w15:restartNumberingAfterBreak="0">
    <w:nsid w:val="3CD216A3"/>
    <w:multiLevelType w:val="hybridMultilevel"/>
    <w:tmpl w:val="69E25E2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5" w15:restartNumberingAfterBreak="0">
    <w:nsid w:val="4027569B"/>
    <w:multiLevelType w:val="hybridMultilevel"/>
    <w:tmpl w:val="789C68CC"/>
    <w:lvl w:ilvl="0" w:tplc="B956D252">
      <w:start w:val="1"/>
      <w:numFmt w:val="decimal"/>
      <w:lvlText w:val="%1."/>
      <w:lvlJc w:val="left"/>
      <w:pPr>
        <w:tabs>
          <w:tab w:val="num" w:pos="720"/>
        </w:tabs>
        <w:ind w:left="720" w:hanging="360"/>
      </w:pPr>
      <w:rPr>
        <w:rFonts w:cs="Times New Roman"/>
        <w:b w:val="0"/>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444556DD"/>
    <w:multiLevelType w:val="hybridMultilevel"/>
    <w:tmpl w:val="F7FAFB1E"/>
    <w:lvl w:ilvl="0" w:tplc="D1D448AE">
      <w:start w:val="2"/>
      <w:numFmt w:val="bullet"/>
      <w:lvlText w:val="-"/>
      <w:lvlJc w:val="left"/>
      <w:pPr>
        <w:tabs>
          <w:tab w:val="num" w:pos="1548"/>
        </w:tabs>
        <w:ind w:left="1548" w:hanging="840"/>
      </w:pPr>
      <w:rPr>
        <w:rFonts w:ascii="Times New Roman" w:eastAsia="Times New Roman" w:hAnsi="Times New Roman" w:cs="Times New Roman" w:hint="default"/>
      </w:rPr>
    </w:lvl>
    <w:lvl w:ilvl="1" w:tplc="040C0001">
      <w:start w:val="1"/>
      <w:numFmt w:val="bullet"/>
      <w:lvlText w:val=""/>
      <w:lvlJc w:val="left"/>
      <w:pPr>
        <w:tabs>
          <w:tab w:val="num" w:pos="1788"/>
        </w:tabs>
        <w:ind w:left="1788" w:hanging="360"/>
      </w:pPr>
      <w:rPr>
        <w:rFonts w:ascii="Symbol" w:hAnsi="Symbol" w:hint="default"/>
      </w:rPr>
    </w:lvl>
    <w:lvl w:ilvl="2" w:tplc="040C001B" w:tentative="1">
      <w:start w:val="1"/>
      <w:numFmt w:val="bullet"/>
      <w:lvlText w:val=""/>
      <w:lvlJc w:val="left"/>
      <w:pPr>
        <w:tabs>
          <w:tab w:val="num" w:pos="2508"/>
        </w:tabs>
        <w:ind w:left="2508" w:hanging="360"/>
      </w:pPr>
      <w:rPr>
        <w:rFonts w:ascii="Wingdings" w:hAnsi="Wingdings" w:hint="default"/>
      </w:rPr>
    </w:lvl>
    <w:lvl w:ilvl="3" w:tplc="040C000F" w:tentative="1">
      <w:start w:val="1"/>
      <w:numFmt w:val="bullet"/>
      <w:lvlText w:val=""/>
      <w:lvlJc w:val="left"/>
      <w:pPr>
        <w:tabs>
          <w:tab w:val="num" w:pos="3228"/>
        </w:tabs>
        <w:ind w:left="3228" w:hanging="360"/>
      </w:pPr>
      <w:rPr>
        <w:rFonts w:ascii="Symbol" w:hAnsi="Symbol" w:hint="default"/>
      </w:rPr>
    </w:lvl>
    <w:lvl w:ilvl="4" w:tplc="040C0019" w:tentative="1">
      <w:start w:val="1"/>
      <w:numFmt w:val="bullet"/>
      <w:lvlText w:val="o"/>
      <w:lvlJc w:val="left"/>
      <w:pPr>
        <w:tabs>
          <w:tab w:val="num" w:pos="3948"/>
        </w:tabs>
        <w:ind w:left="3948" w:hanging="360"/>
      </w:pPr>
      <w:rPr>
        <w:rFonts w:ascii="Courier New" w:hAnsi="Courier New" w:cs="Courier New" w:hint="default"/>
      </w:rPr>
    </w:lvl>
    <w:lvl w:ilvl="5" w:tplc="040C001B" w:tentative="1">
      <w:start w:val="1"/>
      <w:numFmt w:val="bullet"/>
      <w:lvlText w:val=""/>
      <w:lvlJc w:val="left"/>
      <w:pPr>
        <w:tabs>
          <w:tab w:val="num" w:pos="4668"/>
        </w:tabs>
        <w:ind w:left="4668" w:hanging="360"/>
      </w:pPr>
      <w:rPr>
        <w:rFonts w:ascii="Wingdings" w:hAnsi="Wingdings" w:hint="default"/>
      </w:rPr>
    </w:lvl>
    <w:lvl w:ilvl="6" w:tplc="040C000F" w:tentative="1">
      <w:start w:val="1"/>
      <w:numFmt w:val="bullet"/>
      <w:lvlText w:val=""/>
      <w:lvlJc w:val="left"/>
      <w:pPr>
        <w:tabs>
          <w:tab w:val="num" w:pos="5388"/>
        </w:tabs>
        <w:ind w:left="5388" w:hanging="360"/>
      </w:pPr>
      <w:rPr>
        <w:rFonts w:ascii="Symbol" w:hAnsi="Symbol" w:hint="default"/>
      </w:rPr>
    </w:lvl>
    <w:lvl w:ilvl="7" w:tplc="040C0019" w:tentative="1">
      <w:start w:val="1"/>
      <w:numFmt w:val="bullet"/>
      <w:lvlText w:val="o"/>
      <w:lvlJc w:val="left"/>
      <w:pPr>
        <w:tabs>
          <w:tab w:val="num" w:pos="6108"/>
        </w:tabs>
        <w:ind w:left="6108" w:hanging="360"/>
      </w:pPr>
      <w:rPr>
        <w:rFonts w:ascii="Courier New" w:hAnsi="Courier New" w:cs="Courier New" w:hint="default"/>
      </w:rPr>
    </w:lvl>
    <w:lvl w:ilvl="8" w:tplc="040C001B" w:tentative="1">
      <w:start w:val="1"/>
      <w:numFmt w:val="bullet"/>
      <w:lvlText w:val=""/>
      <w:lvlJc w:val="left"/>
      <w:pPr>
        <w:tabs>
          <w:tab w:val="num" w:pos="6828"/>
        </w:tabs>
        <w:ind w:left="6828" w:hanging="360"/>
      </w:pPr>
      <w:rPr>
        <w:rFonts w:ascii="Wingdings" w:hAnsi="Wingdings" w:hint="default"/>
      </w:rPr>
    </w:lvl>
  </w:abstractNum>
  <w:abstractNum w:abstractNumId="57" w15:restartNumberingAfterBreak="0">
    <w:nsid w:val="44472771"/>
    <w:multiLevelType w:val="hybridMultilevel"/>
    <w:tmpl w:val="968ABD84"/>
    <w:lvl w:ilvl="0" w:tplc="080C000B">
      <w:start w:val="1"/>
      <w:numFmt w:val="bullet"/>
      <w:lvlText w:val=""/>
      <w:lvlJc w:val="left"/>
      <w:pPr>
        <w:ind w:left="709" w:hanging="360"/>
      </w:pPr>
      <w:rPr>
        <w:rFonts w:ascii="Wingdings" w:hAnsi="Wingdings" w:hint="default"/>
      </w:rPr>
    </w:lvl>
    <w:lvl w:ilvl="1" w:tplc="080C0003" w:tentative="1">
      <w:start w:val="1"/>
      <w:numFmt w:val="bullet"/>
      <w:lvlText w:val="o"/>
      <w:lvlJc w:val="left"/>
      <w:pPr>
        <w:ind w:left="1429" w:hanging="360"/>
      </w:pPr>
      <w:rPr>
        <w:rFonts w:ascii="Courier New" w:hAnsi="Courier New" w:cs="Courier New" w:hint="default"/>
      </w:rPr>
    </w:lvl>
    <w:lvl w:ilvl="2" w:tplc="080C0005" w:tentative="1">
      <w:start w:val="1"/>
      <w:numFmt w:val="bullet"/>
      <w:lvlText w:val=""/>
      <w:lvlJc w:val="left"/>
      <w:pPr>
        <w:ind w:left="2149" w:hanging="360"/>
      </w:pPr>
      <w:rPr>
        <w:rFonts w:ascii="Wingdings" w:hAnsi="Wingdings" w:hint="default"/>
      </w:rPr>
    </w:lvl>
    <w:lvl w:ilvl="3" w:tplc="080C0001" w:tentative="1">
      <w:start w:val="1"/>
      <w:numFmt w:val="bullet"/>
      <w:lvlText w:val=""/>
      <w:lvlJc w:val="left"/>
      <w:pPr>
        <w:ind w:left="2869" w:hanging="360"/>
      </w:pPr>
      <w:rPr>
        <w:rFonts w:ascii="Symbol" w:hAnsi="Symbol" w:hint="default"/>
      </w:rPr>
    </w:lvl>
    <w:lvl w:ilvl="4" w:tplc="080C0003" w:tentative="1">
      <w:start w:val="1"/>
      <w:numFmt w:val="bullet"/>
      <w:lvlText w:val="o"/>
      <w:lvlJc w:val="left"/>
      <w:pPr>
        <w:ind w:left="3589" w:hanging="360"/>
      </w:pPr>
      <w:rPr>
        <w:rFonts w:ascii="Courier New" w:hAnsi="Courier New" w:cs="Courier New" w:hint="default"/>
      </w:rPr>
    </w:lvl>
    <w:lvl w:ilvl="5" w:tplc="080C0005" w:tentative="1">
      <w:start w:val="1"/>
      <w:numFmt w:val="bullet"/>
      <w:lvlText w:val=""/>
      <w:lvlJc w:val="left"/>
      <w:pPr>
        <w:ind w:left="4309" w:hanging="360"/>
      </w:pPr>
      <w:rPr>
        <w:rFonts w:ascii="Wingdings" w:hAnsi="Wingdings" w:hint="default"/>
      </w:rPr>
    </w:lvl>
    <w:lvl w:ilvl="6" w:tplc="080C0001" w:tentative="1">
      <w:start w:val="1"/>
      <w:numFmt w:val="bullet"/>
      <w:lvlText w:val=""/>
      <w:lvlJc w:val="left"/>
      <w:pPr>
        <w:ind w:left="5029" w:hanging="360"/>
      </w:pPr>
      <w:rPr>
        <w:rFonts w:ascii="Symbol" w:hAnsi="Symbol" w:hint="default"/>
      </w:rPr>
    </w:lvl>
    <w:lvl w:ilvl="7" w:tplc="080C0003" w:tentative="1">
      <w:start w:val="1"/>
      <w:numFmt w:val="bullet"/>
      <w:lvlText w:val="o"/>
      <w:lvlJc w:val="left"/>
      <w:pPr>
        <w:ind w:left="5749" w:hanging="360"/>
      </w:pPr>
      <w:rPr>
        <w:rFonts w:ascii="Courier New" w:hAnsi="Courier New" w:cs="Courier New" w:hint="default"/>
      </w:rPr>
    </w:lvl>
    <w:lvl w:ilvl="8" w:tplc="080C0005" w:tentative="1">
      <w:start w:val="1"/>
      <w:numFmt w:val="bullet"/>
      <w:lvlText w:val=""/>
      <w:lvlJc w:val="left"/>
      <w:pPr>
        <w:ind w:left="6469" w:hanging="360"/>
      </w:pPr>
      <w:rPr>
        <w:rFonts w:ascii="Wingdings" w:hAnsi="Wingdings" w:hint="default"/>
      </w:rPr>
    </w:lvl>
  </w:abstractNum>
  <w:abstractNum w:abstractNumId="58" w15:restartNumberingAfterBreak="0">
    <w:nsid w:val="47170F7A"/>
    <w:multiLevelType w:val="hybridMultilevel"/>
    <w:tmpl w:val="4754B078"/>
    <w:lvl w:ilvl="0" w:tplc="45A6765C">
      <w:start w:val="1"/>
      <w:numFmt w:val="upperLetter"/>
      <w:lvlText w:val="%1)"/>
      <w:lvlJc w:val="left"/>
      <w:pPr>
        <w:ind w:left="1494" w:hanging="360"/>
      </w:pPr>
      <w:rPr>
        <w:rFonts w:hint="default"/>
      </w:rPr>
    </w:lvl>
    <w:lvl w:ilvl="1" w:tplc="080C0019" w:tentative="1">
      <w:start w:val="1"/>
      <w:numFmt w:val="lowerLetter"/>
      <w:lvlText w:val="%2."/>
      <w:lvlJc w:val="left"/>
      <w:pPr>
        <w:ind w:left="2214" w:hanging="360"/>
      </w:pPr>
    </w:lvl>
    <w:lvl w:ilvl="2" w:tplc="080C001B" w:tentative="1">
      <w:start w:val="1"/>
      <w:numFmt w:val="lowerRoman"/>
      <w:lvlText w:val="%3."/>
      <w:lvlJc w:val="right"/>
      <w:pPr>
        <w:ind w:left="2934" w:hanging="180"/>
      </w:pPr>
    </w:lvl>
    <w:lvl w:ilvl="3" w:tplc="080C000F" w:tentative="1">
      <w:start w:val="1"/>
      <w:numFmt w:val="decimal"/>
      <w:lvlText w:val="%4."/>
      <w:lvlJc w:val="left"/>
      <w:pPr>
        <w:ind w:left="3654" w:hanging="360"/>
      </w:pPr>
    </w:lvl>
    <w:lvl w:ilvl="4" w:tplc="080C0019" w:tentative="1">
      <w:start w:val="1"/>
      <w:numFmt w:val="lowerLetter"/>
      <w:lvlText w:val="%5."/>
      <w:lvlJc w:val="left"/>
      <w:pPr>
        <w:ind w:left="4374" w:hanging="360"/>
      </w:pPr>
    </w:lvl>
    <w:lvl w:ilvl="5" w:tplc="080C001B" w:tentative="1">
      <w:start w:val="1"/>
      <w:numFmt w:val="lowerRoman"/>
      <w:lvlText w:val="%6."/>
      <w:lvlJc w:val="right"/>
      <w:pPr>
        <w:ind w:left="5094" w:hanging="180"/>
      </w:pPr>
    </w:lvl>
    <w:lvl w:ilvl="6" w:tplc="080C000F" w:tentative="1">
      <w:start w:val="1"/>
      <w:numFmt w:val="decimal"/>
      <w:lvlText w:val="%7."/>
      <w:lvlJc w:val="left"/>
      <w:pPr>
        <w:ind w:left="5814" w:hanging="360"/>
      </w:pPr>
    </w:lvl>
    <w:lvl w:ilvl="7" w:tplc="080C0019" w:tentative="1">
      <w:start w:val="1"/>
      <w:numFmt w:val="lowerLetter"/>
      <w:lvlText w:val="%8."/>
      <w:lvlJc w:val="left"/>
      <w:pPr>
        <w:ind w:left="6534" w:hanging="360"/>
      </w:pPr>
    </w:lvl>
    <w:lvl w:ilvl="8" w:tplc="080C001B" w:tentative="1">
      <w:start w:val="1"/>
      <w:numFmt w:val="lowerRoman"/>
      <w:lvlText w:val="%9."/>
      <w:lvlJc w:val="right"/>
      <w:pPr>
        <w:ind w:left="7254" w:hanging="180"/>
      </w:pPr>
    </w:lvl>
  </w:abstractNum>
  <w:abstractNum w:abstractNumId="59" w15:restartNumberingAfterBreak="0">
    <w:nsid w:val="483D0482"/>
    <w:multiLevelType w:val="hybridMultilevel"/>
    <w:tmpl w:val="AF54C0FA"/>
    <w:lvl w:ilvl="0" w:tplc="97AC319C">
      <w:start w:val="9"/>
      <w:numFmt w:val="bullet"/>
      <w:lvlText w:val="-"/>
      <w:lvlJc w:val="left"/>
      <w:pPr>
        <w:tabs>
          <w:tab w:val="num" w:pos="1152"/>
        </w:tabs>
        <w:ind w:left="1152" w:hanging="360"/>
      </w:pPr>
      <w:rPr>
        <w:rFonts w:ascii="Times New Roman" w:eastAsia="Times New Roman" w:hAnsi="Times New Roman" w:hint="default"/>
      </w:rPr>
    </w:lvl>
    <w:lvl w:ilvl="1" w:tplc="040C0003" w:tentative="1">
      <w:start w:val="1"/>
      <w:numFmt w:val="bullet"/>
      <w:lvlText w:val="o"/>
      <w:lvlJc w:val="left"/>
      <w:pPr>
        <w:tabs>
          <w:tab w:val="num" w:pos="1872"/>
        </w:tabs>
        <w:ind w:left="1872" w:hanging="360"/>
      </w:pPr>
      <w:rPr>
        <w:rFonts w:ascii="Courier New" w:hAnsi="Courier New" w:hint="default"/>
      </w:rPr>
    </w:lvl>
    <w:lvl w:ilvl="2" w:tplc="040C0005" w:tentative="1">
      <w:start w:val="1"/>
      <w:numFmt w:val="bullet"/>
      <w:lvlText w:val=""/>
      <w:lvlJc w:val="left"/>
      <w:pPr>
        <w:tabs>
          <w:tab w:val="num" w:pos="2592"/>
        </w:tabs>
        <w:ind w:left="2592" w:hanging="360"/>
      </w:pPr>
      <w:rPr>
        <w:rFonts w:ascii="Wingdings" w:hAnsi="Wingdings" w:hint="default"/>
      </w:rPr>
    </w:lvl>
    <w:lvl w:ilvl="3" w:tplc="040C0001" w:tentative="1">
      <w:start w:val="1"/>
      <w:numFmt w:val="bullet"/>
      <w:lvlText w:val=""/>
      <w:lvlJc w:val="left"/>
      <w:pPr>
        <w:tabs>
          <w:tab w:val="num" w:pos="3312"/>
        </w:tabs>
        <w:ind w:left="3312" w:hanging="360"/>
      </w:pPr>
      <w:rPr>
        <w:rFonts w:ascii="Symbol" w:hAnsi="Symbol" w:hint="default"/>
      </w:rPr>
    </w:lvl>
    <w:lvl w:ilvl="4" w:tplc="040C0003" w:tentative="1">
      <w:start w:val="1"/>
      <w:numFmt w:val="bullet"/>
      <w:lvlText w:val="o"/>
      <w:lvlJc w:val="left"/>
      <w:pPr>
        <w:tabs>
          <w:tab w:val="num" w:pos="4032"/>
        </w:tabs>
        <w:ind w:left="4032" w:hanging="360"/>
      </w:pPr>
      <w:rPr>
        <w:rFonts w:ascii="Courier New" w:hAnsi="Courier New" w:hint="default"/>
      </w:rPr>
    </w:lvl>
    <w:lvl w:ilvl="5" w:tplc="040C0005" w:tentative="1">
      <w:start w:val="1"/>
      <w:numFmt w:val="bullet"/>
      <w:lvlText w:val=""/>
      <w:lvlJc w:val="left"/>
      <w:pPr>
        <w:tabs>
          <w:tab w:val="num" w:pos="4752"/>
        </w:tabs>
        <w:ind w:left="4752" w:hanging="360"/>
      </w:pPr>
      <w:rPr>
        <w:rFonts w:ascii="Wingdings" w:hAnsi="Wingdings" w:hint="default"/>
      </w:rPr>
    </w:lvl>
    <w:lvl w:ilvl="6" w:tplc="040C0001" w:tentative="1">
      <w:start w:val="1"/>
      <w:numFmt w:val="bullet"/>
      <w:lvlText w:val=""/>
      <w:lvlJc w:val="left"/>
      <w:pPr>
        <w:tabs>
          <w:tab w:val="num" w:pos="5472"/>
        </w:tabs>
        <w:ind w:left="5472" w:hanging="360"/>
      </w:pPr>
      <w:rPr>
        <w:rFonts w:ascii="Symbol" w:hAnsi="Symbol" w:hint="default"/>
      </w:rPr>
    </w:lvl>
    <w:lvl w:ilvl="7" w:tplc="040C0003" w:tentative="1">
      <w:start w:val="1"/>
      <w:numFmt w:val="bullet"/>
      <w:lvlText w:val="o"/>
      <w:lvlJc w:val="left"/>
      <w:pPr>
        <w:tabs>
          <w:tab w:val="num" w:pos="6192"/>
        </w:tabs>
        <w:ind w:left="6192" w:hanging="360"/>
      </w:pPr>
      <w:rPr>
        <w:rFonts w:ascii="Courier New" w:hAnsi="Courier New" w:hint="default"/>
      </w:rPr>
    </w:lvl>
    <w:lvl w:ilvl="8" w:tplc="040C0005" w:tentative="1">
      <w:start w:val="1"/>
      <w:numFmt w:val="bullet"/>
      <w:lvlText w:val=""/>
      <w:lvlJc w:val="left"/>
      <w:pPr>
        <w:tabs>
          <w:tab w:val="num" w:pos="6912"/>
        </w:tabs>
        <w:ind w:left="6912" w:hanging="360"/>
      </w:pPr>
      <w:rPr>
        <w:rFonts w:ascii="Wingdings" w:hAnsi="Wingdings" w:hint="default"/>
      </w:rPr>
    </w:lvl>
  </w:abstractNum>
  <w:abstractNum w:abstractNumId="60" w15:restartNumberingAfterBreak="0">
    <w:nsid w:val="511845E4"/>
    <w:multiLevelType w:val="hybridMultilevel"/>
    <w:tmpl w:val="43F22B7C"/>
    <w:lvl w:ilvl="0" w:tplc="220A6644">
      <w:start w:val="1"/>
      <w:numFmt w:val="decimal"/>
      <w:lvlText w:val="B.1.%1."/>
      <w:lvlJc w:val="left"/>
      <w:pPr>
        <w:ind w:left="108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1" w15:restartNumberingAfterBreak="0">
    <w:nsid w:val="5B4A7024"/>
    <w:multiLevelType w:val="hybridMultilevel"/>
    <w:tmpl w:val="B2A84ECA"/>
    <w:lvl w:ilvl="0" w:tplc="9D84381A">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62" w15:restartNumberingAfterBreak="0">
    <w:nsid w:val="5FB32B3B"/>
    <w:multiLevelType w:val="hybridMultilevel"/>
    <w:tmpl w:val="7F7898F2"/>
    <w:lvl w:ilvl="0" w:tplc="040C000B">
      <w:start w:val="1"/>
      <w:numFmt w:val="bullet"/>
      <w:lvlText w:val=""/>
      <w:lvlJc w:val="left"/>
      <w:pPr>
        <w:tabs>
          <w:tab w:val="num" w:pos="792"/>
        </w:tabs>
        <w:ind w:left="792" w:hanging="360"/>
      </w:pPr>
      <w:rPr>
        <w:rFonts w:ascii="Wingdings" w:hAnsi="Wingdings" w:hint="default"/>
      </w:rPr>
    </w:lvl>
    <w:lvl w:ilvl="1" w:tplc="040C0003">
      <w:start w:val="1"/>
      <w:numFmt w:val="bullet"/>
      <w:lvlText w:val="o"/>
      <w:lvlJc w:val="left"/>
      <w:pPr>
        <w:tabs>
          <w:tab w:val="num" w:pos="1512"/>
        </w:tabs>
        <w:ind w:left="1512" w:hanging="360"/>
      </w:pPr>
      <w:rPr>
        <w:rFonts w:ascii="Courier New" w:hAnsi="Courier New" w:hint="default"/>
      </w:rPr>
    </w:lvl>
    <w:lvl w:ilvl="2" w:tplc="040C0005" w:tentative="1">
      <w:start w:val="1"/>
      <w:numFmt w:val="bullet"/>
      <w:lvlText w:val=""/>
      <w:lvlJc w:val="left"/>
      <w:pPr>
        <w:tabs>
          <w:tab w:val="num" w:pos="2232"/>
        </w:tabs>
        <w:ind w:left="2232" w:hanging="360"/>
      </w:pPr>
      <w:rPr>
        <w:rFonts w:ascii="Wingdings" w:hAnsi="Wingdings" w:hint="default"/>
      </w:rPr>
    </w:lvl>
    <w:lvl w:ilvl="3" w:tplc="040C0001" w:tentative="1">
      <w:start w:val="1"/>
      <w:numFmt w:val="bullet"/>
      <w:lvlText w:val=""/>
      <w:lvlJc w:val="left"/>
      <w:pPr>
        <w:tabs>
          <w:tab w:val="num" w:pos="2952"/>
        </w:tabs>
        <w:ind w:left="2952" w:hanging="360"/>
      </w:pPr>
      <w:rPr>
        <w:rFonts w:ascii="Symbol" w:hAnsi="Symbol" w:hint="default"/>
      </w:rPr>
    </w:lvl>
    <w:lvl w:ilvl="4" w:tplc="040C0003" w:tentative="1">
      <w:start w:val="1"/>
      <w:numFmt w:val="bullet"/>
      <w:lvlText w:val="o"/>
      <w:lvlJc w:val="left"/>
      <w:pPr>
        <w:tabs>
          <w:tab w:val="num" w:pos="3672"/>
        </w:tabs>
        <w:ind w:left="3672" w:hanging="360"/>
      </w:pPr>
      <w:rPr>
        <w:rFonts w:ascii="Courier New" w:hAnsi="Courier New" w:hint="default"/>
      </w:rPr>
    </w:lvl>
    <w:lvl w:ilvl="5" w:tplc="040C0005" w:tentative="1">
      <w:start w:val="1"/>
      <w:numFmt w:val="bullet"/>
      <w:lvlText w:val=""/>
      <w:lvlJc w:val="left"/>
      <w:pPr>
        <w:tabs>
          <w:tab w:val="num" w:pos="4392"/>
        </w:tabs>
        <w:ind w:left="4392" w:hanging="360"/>
      </w:pPr>
      <w:rPr>
        <w:rFonts w:ascii="Wingdings" w:hAnsi="Wingdings" w:hint="default"/>
      </w:rPr>
    </w:lvl>
    <w:lvl w:ilvl="6" w:tplc="040C0001" w:tentative="1">
      <w:start w:val="1"/>
      <w:numFmt w:val="bullet"/>
      <w:lvlText w:val=""/>
      <w:lvlJc w:val="left"/>
      <w:pPr>
        <w:tabs>
          <w:tab w:val="num" w:pos="5112"/>
        </w:tabs>
        <w:ind w:left="5112" w:hanging="360"/>
      </w:pPr>
      <w:rPr>
        <w:rFonts w:ascii="Symbol" w:hAnsi="Symbol" w:hint="default"/>
      </w:rPr>
    </w:lvl>
    <w:lvl w:ilvl="7" w:tplc="040C0003" w:tentative="1">
      <w:start w:val="1"/>
      <w:numFmt w:val="bullet"/>
      <w:lvlText w:val="o"/>
      <w:lvlJc w:val="left"/>
      <w:pPr>
        <w:tabs>
          <w:tab w:val="num" w:pos="5832"/>
        </w:tabs>
        <w:ind w:left="5832" w:hanging="360"/>
      </w:pPr>
      <w:rPr>
        <w:rFonts w:ascii="Courier New" w:hAnsi="Courier New" w:hint="default"/>
      </w:rPr>
    </w:lvl>
    <w:lvl w:ilvl="8" w:tplc="040C0005" w:tentative="1">
      <w:start w:val="1"/>
      <w:numFmt w:val="bullet"/>
      <w:lvlText w:val=""/>
      <w:lvlJc w:val="left"/>
      <w:pPr>
        <w:tabs>
          <w:tab w:val="num" w:pos="6552"/>
        </w:tabs>
        <w:ind w:left="6552" w:hanging="360"/>
      </w:pPr>
      <w:rPr>
        <w:rFonts w:ascii="Wingdings" w:hAnsi="Wingdings" w:hint="default"/>
      </w:rPr>
    </w:lvl>
  </w:abstractNum>
  <w:abstractNum w:abstractNumId="63" w15:restartNumberingAfterBreak="0">
    <w:nsid w:val="7AC81655"/>
    <w:multiLevelType w:val="hybridMultilevel"/>
    <w:tmpl w:val="DBEC6D0E"/>
    <w:lvl w:ilvl="0" w:tplc="A4D61B5C">
      <w:start w:val="1"/>
      <w:numFmt w:val="decimal"/>
      <w:lvlText w:val="B.%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5"/>
  </w:num>
  <w:num w:numId="46">
    <w:abstractNumId w:val="53"/>
  </w:num>
  <w:num w:numId="47">
    <w:abstractNumId w:val="47"/>
  </w:num>
  <w:num w:numId="48">
    <w:abstractNumId w:val="48"/>
  </w:num>
  <w:num w:numId="49">
    <w:abstractNumId w:val="59"/>
  </w:num>
  <w:num w:numId="50">
    <w:abstractNumId w:val="51"/>
  </w:num>
  <w:num w:numId="51">
    <w:abstractNumId w:val="61"/>
  </w:num>
  <w:num w:numId="52">
    <w:abstractNumId w:val="62"/>
  </w:num>
  <w:num w:numId="53">
    <w:abstractNumId w:val="55"/>
  </w:num>
  <w:num w:numId="54">
    <w:abstractNumId w:val="49"/>
  </w:num>
  <w:num w:numId="55">
    <w:abstractNumId w:val="56"/>
  </w:num>
  <w:num w:numId="56">
    <w:abstractNumId w:val="46"/>
  </w:num>
  <w:num w:numId="57">
    <w:abstractNumId w:val="39"/>
  </w:num>
  <w:num w:numId="58">
    <w:abstractNumId w:val="58"/>
  </w:num>
  <w:num w:numId="59">
    <w:abstractNumId w:val="54"/>
  </w:num>
  <w:num w:numId="60">
    <w:abstractNumId w:val="63"/>
  </w:num>
  <w:num w:numId="61">
    <w:abstractNumId w:val="60"/>
  </w:num>
  <w:num w:numId="62">
    <w:abstractNumId w:val="57"/>
  </w:num>
  <w:num w:numId="63">
    <w:abstractNumId w:val="52"/>
  </w:num>
  <w:num w:numId="64">
    <w:abstractNumId w:val="5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proofState w:spelling="clean" w:grammar="clean"/>
  <w:revisionView w:inkAnnotation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7"/>
    <o:shapelayout v:ext="edit">
      <o:idmap v:ext="edit" data="1"/>
    </o:shapelayout>
  </w:shapeDefaults>
  <w:decimalSymbol w:val=","/>
  <w:listSeparator w:val=";"/>
  <w15:docId w15:val="{53AF73F8-FBEC-41CE-81EB-3C64395D4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spacing w:after="0" w:line="240" w:lineRule="auto"/>
    </w:pPr>
    <w:rPr>
      <w:rFonts w:ascii="Times New Roman" w:eastAsia="Times New Roman" w:hAnsi="Times New Roman" w:cs="Times New Roman"/>
      <w:sz w:val="20"/>
      <w:szCs w:val="20"/>
      <w:lang w:val="fr-FR" w:eastAsia="ar-SA"/>
    </w:rPr>
  </w:style>
  <w:style w:type="paragraph" w:styleId="Titre1">
    <w:name w:val="heading 1"/>
    <w:basedOn w:val="Normal"/>
    <w:next w:val="Normal"/>
    <w:link w:val="Titre1Car"/>
    <w:uiPriority w:val="99"/>
    <w:qFormat/>
    <w:pPr>
      <w:keepNext/>
      <w:tabs>
        <w:tab w:val="num" w:pos="432"/>
        <w:tab w:val="center" w:pos="1349"/>
      </w:tabs>
      <w:ind w:left="432" w:hanging="432"/>
      <w:jc w:val="center"/>
      <w:outlineLvl w:val="0"/>
    </w:pPr>
    <w:rPr>
      <w:b/>
      <w:bCs/>
      <w:sz w:val="22"/>
      <w:szCs w:val="22"/>
    </w:rPr>
  </w:style>
  <w:style w:type="paragraph" w:styleId="Titre2">
    <w:name w:val="heading 2"/>
    <w:basedOn w:val="Normal"/>
    <w:next w:val="Normal"/>
    <w:link w:val="Titre2Car"/>
    <w:uiPriority w:val="99"/>
    <w:qFormat/>
    <w:pPr>
      <w:keepNext/>
      <w:tabs>
        <w:tab w:val="num" w:pos="576"/>
      </w:tabs>
      <w:ind w:left="576" w:hanging="576"/>
      <w:jc w:val="center"/>
      <w:outlineLvl w:val="1"/>
    </w:pPr>
    <w:rPr>
      <w:sz w:val="24"/>
      <w:szCs w:val="24"/>
      <w:u w:val="single"/>
    </w:rPr>
  </w:style>
  <w:style w:type="paragraph" w:styleId="Titre3">
    <w:name w:val="heading 3"/>
    <w:basedOn w:val="Normal"/>
    <w:next w:val="Normal"/>
    <w:link w:val="Titre3Car"/>
    <w:uiPriority w:val="99"/>
    <w:qFormat/>
    <w:pPr>
      <w:keepNext/>
      <w:tabs>
        <w:tab w:val="num" w:pos="720"/>
        <w:tab w:val="left" w:pos="6521"/>
      </w:tabs>
      <w:ind w:left="709"/>
      <w:outlineLvl w:val="2"/>
    </w:pPr>
    <w:rPr>
      <w:b/>
      <w:bCs/>
      <w:sz w:val="24"/>
      <w:szCs w:val="24"/>
    </w:rPr>
  </w:style>
  <w:style w:type="paragraph" w:styleId="Titre4">
    <w:name w:val="heading 4"/>
    <w:basedOn w:val="Normal"/>
    <w:next w:val="Normal"/>
    <w:link w:val="Titre4Car"/>
    <w:uiPriority w:val="99"/>
    <w:qFormat/>
    <w:pPr>
      <w:keepNext/>
      <w:tabs>
        <w:tab w:val="num" w:pos="864"/>
      </w:tabs>
      <w:ind w:left="864" w:hanging="864"/>
      <w:outlineLvl w:val="3"/>
    </w:pPr>
    <w:rPr>
      <w:b/>
      <w:bCs/>
      <w:sz w:val="24"/>
      <w:szCs w:val="24"/>
      <w:u w:val="single"/>
    </w:rPr>
  </w:style>
  <w:style w:type="paragraph" w:styleId="Titre5">
    <w:name w:val="heading 5"/>
    <w:basedOn w:val="Normal"/>
    <w:next w:val="Normal"/>
    <w:link w:val="Titre5Car"/>
    <w:uiPriority w:val="99"/>
    <w:qFormat/>
    <w:pPr>
      <w:keepNext/>
      <w:tabs>
        <w:tab w:val="num" w:pos="1008"/>
      </w:tabs>
      <w:ind w:left="1008" w:hanging="1008"/>
      <w:outlineLvl w:val="4"/>
    </w:pPr>
    <w:rPr>
      <w:b/>
      <w:bCs/>
      <w:sz w:val="28"/>
      <w:szCs w:val="28"/>
      <w:u w:val="single"/>
    </w:rPr>
  </w:style>
  <w:style w:type="paragraph" w:styleId="Titre6">
    <w:name w:val="heading 6"/>
    <w:basedOn w:val="Normal"/>
    <w:next w:val="Normal"/>
    <w:link w:val="Titre6Car"/>
    <w:uiPriority w:val="99"/>
    <w:qFormat/>
    <w:pPr>
      <w:keepNext/>
      <w:tabs>
        <w:tab w:val="right" w:pos="567"/>
        <w:tab w:val="right" w:pos="1134"/>
        <w:tab w:val="right" w:leader="dot" w:pos="9026"/>
      </w:tabs>
      <w:spacing w:after="120"/>
      <w:ind w:left="1418" w:right="-187" w:hanging="1418"/>
      <w:jc w:val="both"/>
      <w:outlineLvl w:val="5"/>
    </w:pPr>
    <w:rPr>
      <w:spacing w:val="-2"/>
      <w:sz w:val="28"/>
      <w:szCs w:val="28"/>
    </w:rPr>
  </w:style>
  <w:style w:type="paragraph" w:styleId="Titre7">
    <w:name w:val="heading 7"/>
    <w:basedOn w:val="Normal"/>
    <w:next w:val="Normal"/>
    <w:link w:val="Titre7Car"/>
    <w:qFormat/>
    <w:pPr>
      <w:keepNext/>
      <w:tabs>
        <w:tab w:val="right" w:pos="1134"/>
        <w:tab w:val="num" w:pos="1296"/>
        <w:tab w:val="right" w:leader="dot" w:pos="9026"/>
      </w:tabs>
      <w:ind w:left="567" w:right="-187" w:hanging="284"/>
      <w:jc w:val="both"/>
      <w:outlineLvl w:val="6"/>
    </w:pPr>
    <w:rPr>
      <w:spacing w:val="-2"/>
      <w:sz w:val="24"/>
      <w:szCs w:val="24"/>
    </w:rPr>
  </w:style>
  <w:style w:type="paragraph" w:styleId="Titre8">
    <w:name w:val="heading 8"/>
    <w:basedOn w:val="Normal"/>
    <w:next w:val="Normal"/>
    <w:link w:val="Titre8Car"/>
    <w:qFormat/>
    <w:pPr>
      <w:keepNext/>
      <w:tabs>
        <w:tab w:val="num" w:pos="1440"/>
      </w:tabs>
      <w:spacing w:after="60"/>
      <w:ind w:left="851"/>
      <w:jc w:val="both"/>
      <w:outlineLvl w:val="7"/>
    </w:pPr>
    <w:rPr>
      <w:spacing w:val="-3"/>
      <w:sz w:val="24"/>
      <w:szCs w:val="24"/>
    </w:rPr>
  </w:style>
  <w:style w:type="paragraph" w:styleId="Titre9">
    <w:name w:val="heading 9"/>
    <w:basedOn w:val="Normal"/>
    <w:next w:val="Normal"/>
    <w:link w:val="Titre9Car"/>
    <w:qFormat/>
    <w:pPr>
      <w:keepNext/>
      <w:tabs>
        <w:tab w:val="left" w:pos="589"/>
        <w:tab w:val="num" w:pos="1584"/>
        <w:tab w:val="left" w:pos="4676"/>
        <w:tab w:val="left" w:pos="5413"/>
      </w:tabs>
      <w:ind w:left="447"/>
      <w:outlineLvl w:val="8"/>
    </w:pPr>
    <w:rPr>
      <w:spacing w:val="-3"/>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rPr>
      <w:rFonts w:ascii="Times New Roman" w:eastAsia="Times New Roman" w:hAnsi="Times New Roman" w:cs="Times New Roman"/>
      <w:b/>
      <w:bCs/>
      <w:lang w:val="fr-FR" w:eastAsia="ar-SA"/>
    </w:rPr>
  </w:style>
  <w:style w:type="character" w:customStyle="1" w:styleId="Titre2Car">
    <w:name w:val="Titre 2 Car"/>
    <w:basedOn w:val="Policepardfaut"/>
    <w:link w:val="Titre2"/>
    <w:uiPriority w:val="99"/>
    <w:rPr>
      <w:rFonts w:ascii="Times New Roman" w:eastAsia="Times New Roman" w:hAnsi="Times New Roman" w:cs="Times New Roman"/>
      <w:sz w:val="24"/>
      <w:szCs w:val="24"/>
      <w:u w:val="single"/>
      <w:lang w:val="fr-FR" w:eastAsia="ar-SA"/>
    </w:rPr>
  </w:style>
  <w:style w:type="character" w:customStyle="1" w:styleId="Titre3Car">
    <w:name w:val="Titre 3 Car"/>
    <w:basedOn w:val="Policepardfaut"/>
    <w:link w:val="Titre3"/>
    <w:uiPriority w:val="99"/>
    <w:rPr>
      <w:rFonts w:ascii="Times New Roman" w:eastAsia="Times New Roman" w:hAnsi="Times New Roman" w:cs="Times New Roman"/>
      <w:b/>
      <w:bCs/>
      <w:sz w:val="24"/>
      <w:szCs w:val="24"/>
      <w:lang w:val="fr-FR" w:eastAsia="ar-SA"/>
    </w:rPr>
  </w:style>
  <w:style w:type="character" w:customStyle="1" w:styleId="Titre4Car">
    <w:name w:val="Titre 4 Car"/>
    <w:basedOn w:val="Policepardfaut"/>
    <w:link w:val="Titre4"/>
    <w:uiPriority w:val="99"/>
    <w:rPr>
      <w:rFonts w:ascii="Times New Roman" w:eastAsia="Times New Roman" w:hAnsi="Times New Roman" w:cs="Times New Roman"/>
      <w:b/>
      <w:bCs/>
      <w:sz w:val="24"/>
      <w:szCs w:val="24"/>
      <w:u w:val="single"/>
      <w:lang w:val="fr-FR" w:eastAsia="ar-SA"/>
    </w:rPr>
  </w:style>
  <w:style w:type="character" w:customStyle="1" w:styleId="Titre5Car">
    <w:name w:val="Titre 5 Car"/>
    <w:basedOn w:val="Policepardfaut"/>
    <w:link w:val="Titre5"/>
    <w:uiPriority w:val="99"/>
    <w:rPr>
      <w:rFonts w:ascii="Times New Roman" w:eastAsia="Times New Roman" w:hAnsi="Times New Roman" w:cs="Times New Roman"/>
      <w:b/>
      <w:bCs/>
      <w:sz w:val="28"/>
      <w:szCs w:val="28"/>
      <w:u w:val="single"/>
      <w:lang w:val="fr-FR" w:eastAsia="ar-SA"/>
    </w:rPr>
  </w:style>
  <w:style w:type="character" w:customStyle="1" w:styleId="Titre6Car">
    <w:name w:val="Titre 6 Car"/>
    <w:basedOn w:val="Policepardfaut"/>
    <w:link w:val="Titre6"/>
    <w:uiPriority w:val="99"/>
    <w:rPr>
      <w:rFonts w:ascii="Times New Roman" w:eastAsia="Times New Roman" w:hAnsi="Times New Roman" w:cs="Times New Roman"/>
      <w:spacing w:val="-2"/>
      <w:sz w:val="28"/>
      <w:szCs w:val="28"/>
      <w:lang w:val="fr-FR" w:eastAsia="ar-SA"/>
    </w:rPr>
  </w:style>
  <w:style w:type="character" w:customStyle="1" w:styleId="Titre7Car">
    <w:name w:val="Titre 7 Car"/>
    <w:basedOn w:val="Policepardfaut"/>
    <w:link w:val="Titre7"/>
    <w:uiPriority w:val="99"/>
    <w:rPr>
      <w:rFonts w:ascii="Times New Roman" w:eastAsia="Times New Roman" w:hAnsi="Times New Roman" w:cs="Times New Roman"/>
      <w:spacing w:val="-2"/>
      <w:sz w:val="24"/>
      <w:szCs w:val="24"/>
      <w:lang w:val="fr-FR" w:eastAsia="ar-SA"/>
    </w:rPr>
  </w:style>
  <w:style w:type="character" w:customStyle="1" w:styleId="Titre8Car">
    <w:name w:val="Titre 8 Car"/>
    <w:basedOn w:val="Policepardfaut"/>
    <w:link w:val="Titre8"/>
    <w:uiPriority w:val="99"/>
    <w:rPr>
      <w:rFonts w:ascii="Times New Roman" w:eastAsia="Times New Roman" w:hAnsi="Times New Roman" w:cs="Times New Roman"/>
      <w:spacing w:val="-3"/>
      <w:sz w:val="24"/>
      <w:szCs w:val="24"/>
      <w:lang w:val="fr-FR" w:eastAsia="ar-SA"/>
    </w:rPr>
  </w:style>
  <w:style w:type="character" w:customStyle="1" w:styleId="Titre9Car">
    <w:name w:val="Titre 9 Car"/>
    <w:basedOn w:val="Policepardfaut"/>
    <w:link w:val="Titre9"/>
    <w:uiPriority w:val="99"/>
    <w:rPr>
      <w:rFonts w:ascii="Times New Roman" w:eastAsia="Times New Roman" w:hAnsi="Times New Roman" w:cs="Times New Roman"/>
      <w:spacing w:val="-3"/>
      <w:sz w:val="24"/>
      <w:szCs w:val="24"/>
      <w:lang w:val="fr-FR" w:eastAsia="ar-SA"/>
    </w:rPr>
  </w:style>
  <w:style w:type="character" w:customStyle="1" w:styleId="WW8Num2z0">
    <w:name w:val="WW8Num2z0"/>
    <w:uiPriority w:val="99"/>
    <w:rPr>
      <w:rFonts w:ascii="Symbol" w:hAnsi="Symbol"/>
    </w:rPr>
  </w:style>
  <w:style w:type="character" w:customStyle="1" w:styleId="WW8Num3z0">
    <w:name w:val="WW8Num3z0"/>
    <w:uiPriority w:val="99"/>
    <w:rPr>
      <w:rFonts w:ascii="Wingdings" w:hAnsi="Wingdings"/>
    </w:rPr>
  </w:style>
  <w:style w:type="character" w:customStyle="1" w:styleId="WW8Num4z0">
    <w:name w:val="WW8Num4z0"/>
    <w:uiPriority w:val="99"/>
    <w:rPr>
      <w:rFonts w:ascii="Symbol" w:hAnsi="Symbol"/>
    </w:rPr>
  </w:style>
  <w:style w:type="character" w:customStyle="1" w:styleId="WW8Num5z0">
    <w:name w:val="WW8Num5z0"/>
    <w:uiPriority w:val="99"/>
    <w:rPr>
      <w:rFonts w:ascii="Symbol" w:hAnsi="Symbol"/>
    </w:rPr>
  </w:style>
  <w:style w:type="character" w:customStyle="1" w:styleId="WW8Num6z0">
    <w:name w:val="WW8Num6z0"/>
    <w:uiPriority w:val="99"/>
  </w:style>
  <w:style w:type="character" w:customStyle="1" w:styleId="WW8Num7z0">
    <w:name w:val="WW8Num7z0"/>
    <w:uiPriority w:val="99"/>
    <w:rPr>
      <w:rFonts w:ascii="Symbol" w:hAnsi="Symbol"/>
      <w:color w:val="auto"/>
      <w:sz w:val="16"/>
    </w:rPr>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7z3">
    <w:name w:val="WW8Num7z3"/>
    <w:uiPriority w:val="99"/>
    <w:rPr>
      <w:rFonts w:ascii="Symbol" w:hAnsi="Symbol"/>
    </w:rPr>
  </w:style>
  <w:style w:type="character" w:customStyle="1" w:styleId="WW8Num8z0">
    <w:name w:val="WW8Num8z0"/>
    <w:uiPriority w:val="99"/>
    <w:rPr>
      <w:sz w:val="20"/>
    </w:rPr>
  </w:style>
  <w:style w:type="character" w:customStyle="1" w:styleId="WW8Num9z0">
    <w:name w:val="WW8Num9z0"/>
    <w:uiPriority w:val="99"/>
    <w:rPr>
      <w:rFonts w:ascii="Wingdings" w:hAnsi="Wingdings"/>
    </w:rPr>
  </w:style>
  <w:style w:type="character" w:customStyle="1" w:styleId="WW8Num9z1">
    <w:name w:val="WW8Num9z1"/>
    <w:uiPriority w:val="99"/>
    <w:rPr>
      <w:rFonts w:ascii="Courier New" w:hAnsi="Courier New"/>
    </w:rPr>
  </w:style>
  <w:style w:type="character" w:customStyle="1" w:styleId="WW8Num9z3">
    <w:name w:val="WW8Num9z3"/>
    <w:uiPriority w:val="99"/>
    <w:rPr>
      <w:rFonts w:ascii="Symbol" w:hAnsi="Symbol"/>
    </w:rPr>
  </w:style>
  <w:style w:type="character" w:customStyle="1" w:styleId="WW8Num11z0">
    <w:name w:val="WW8Num11z0"/>
    <w:uiPriority w:val="99"/>
    <w:rPr>
      <w:rFonts w:ascii="Symbol" w:hAnsi="Symbol"/>
    </w:rPr>
  </w:style>
  <w:style w:type="character" w:customStyle="1" w:styleId="WW8Num12z0">
    <w:name w:val="WW8Num12z0"/>
    <w:uiPriority w:val="99"/>
  </w:style>
  <w:style w:type="character" w:customStyle="1" w:styleId="WW8Num12z1">
    <w:name w:val="WW8Num12z1"/>
    <w:uiPriority w:val="99"/>
  </w:style>
  <w:style w:type="character" w:customStyle="1" w:styleId="WW8Num13z0">
    <w:name w:val="WW8Num13z0"/>
    <w:uiPriority w:val="99"/>
    <w:rPr>
      <w:rFonts w:ascii="Arial" w:hAnsi="Arial"/>
    </w:rPr>
  </w:style>
  <w:style w:type="character" w:customStyle="1" w:styleId="WW8Num13z1">
    <w:name w:val="WW8Num13z1"/>
    <w:uiPriority w:val="99"/>
    <w:rPr>
      <w:rFonts w:ascii="Courier New" w:hAnsi="Courier New"/>
    </w:rPr>
  </w:style>
  <w:style w:type="character" w:customStyle="1" w:styleId="WW8Num13z2">
    <w:name w:val="WW8Num13z2"/>
    <w:uiPriority w:val="99"/>
    <w:rPr>
      <w:rFonts w:ascii="Wingdings" w:hAnsi="Wingdings"/>
    </w:rPr>
  </w:style>
  <w:style w:type="character" w:customStyle="1" w:styleId="WW8Num13z3">
    <w:name w:val="WW8Num13z3"/>
    <w:uiPriority w:val="99"/>
    <w:rPr>
      <w:rFonts w:ascii="Symbol" w:hAnsi="Symbol"/>
    </w:rPr>
  </w:style>
  <w:style w:type="character" w:customStyle="1" w:styleId="WW8Num15z0">
    <w:name w:val="WW8Num15z0"/>
    <w:uiPriority w:val="99"/>
    <w:rPr>
      <w:rFonts w:ascii="Symbol" w:hAnsi="Symbol"/>
      <w:color w:val="auto"/>
    </w:rPr>
  </w:style>
  <w:style w:type="character" w:customStyle="1" w:styleId="WW8Num16z0">
    <w:name w:val="WW8Num16z0"/>
    <w:uiPriority w:val="99"/>
    <w:rPr>
      <w:rFonts w:ascii="Symbol" w:hAnsi="Symbol"/>
    </w:rPr>
  </w:style>
  <w:style w:type="character" w:customStyle="1" w:styleId="WW8Num17z0">
    <w:name w:val="WW8Num17z0"/>
    <w:uiPriority w:val="99"/>
    <w:rPr>
      <w:rFonts w:ascii="Symbol" w:hAnsi="Symbol"/>
    </w:rPr>
  </w:style>
  <w:style w:type="character" w:customStyle="1" w:styleId="WW8Num18z0">
    <w:name w:val="WW8Num18z0"/>
    <w:uiPriority w:val="99"/>
    <w:rPr>
      <w:rFonts w:ascii="Symbol" w:hAnsi="Symbol"/>
    </w:rPr>
  </w:style>
  <w:style w:type="character" w:customStyle="1" w:styleId="WW8Num19z0">
    <w:name w:val="WW8Num19z0"/>
    <w:uiPriority w:val="99"/>
    <w:rPr>
      <w:rFonts w:ascii="Arial" w:hAnsi="Arial"/>
    </w:rPr>
  </w:style>
  <w:style w:type="character" w:customStyle="1" w:styleId="WW8Num19z1">
    <w:name w:val="WW8Num19z1"/>
    <w:uiPriority w:val="99"/>
    <w:rPr>
      <w:rFonts w:ascii="Courier New" w:hAnsi="Courier New"/>
    </w:rPr>
  </w:style>
  <w:style w:type="character" w:customStyle="1" w:styleId="WW8Num19z2">
    <w:name w:val="WW8Num19z2"/>
    <w:uiPriority w:val="99"/>
    <w:rPr>
      <w:rFonts w:ascii="Wingdings" w:hAnsi="Wingdings"/>
    </w:rPr>
  </w:style>
  <w:style w:type="character" w:customStyle="1" w:styleId="WW8Num19z3">
    <w:name w:val="WW8Num19z3"/>
    <w:uiPriority w:val="99"/>
    <w:rPr>
      <w:rFonts w:ascii="Symbol" w:hAnsi="Symbol"/>
    </w:rPr>
  </w:style>
  <w:style w:type="character" w:customStyle="1" w:styleId="WW8Num21z0">
    <w:name w:val="WW8Num21z0"/>
    <w:uiPriority w:val="99"/>
    <w:rPr>
      <w:rFonts w:ascii="Symbol" w:hAnsi="Symbol"/>
    </w:rPr>
  </w:style>
  <w:style w:type="character" w:customStyle="1" w:styleId="WW8Num24z0">
    <w:name w:val="WW8Num24z0"/>
    <w:uiPriority w:val="99"/>
    <w:rPr>
      <w:rFonts w:ascii="Symbol" w:hAnsi="Symbol"/>
    </w:rPr>
  </w:style>
  <w:style w:type="character" w:customStyle="1" w:styleId="WW8Num25z0">
    <w:name w:val="WW8Num25z0"/>
    <w:uiPriority w:val="99"/>
    <w:rPr>
      <w:rFonts w:ascii="Symbol" w:hAnsi="Symbol"/>
    </w:rPr>
  </w:style>
  <w:style w:type="character" w:customStyle="1" w:styleId="WW8Num26z0">
    <w:name w:val="WW8Num26z0"/>
    <w:uiPriority w:val="99"/>
    <w:rPr>
      <w:rFonts w:ascii="Symbol" w:hAnsi="Symbol"/>
    </w:rPr>
  </w:style>
  <w:style w:type="character" w:customStyle="1" w:styleId="WW8Num27z0">
    <w:name w:val="WW8Num27z0"/>
    <w:uiPriority w:val="99"/>
    <w:rPr>
      <w:rFonts w:ascii="Symbol" w:hAnsi="Symbol"/>
    </w:rPr>
  </w:style>
  <w:style w:type="character" w:customStyle="1" w:styleId="WW8Num28z0">
    <w:name w:val="WW8Num28z0"/>
    <w:uiPriority w:val="99"/>
    <w:rPr>
      <w:rFonts w:ascii="Symbol" w:hAnsi="Symbol"/>
    </w:rPr>
  </w:style>
  <w:style w:type="character" w:customStyle="1" w:styleId="WW8Num29z0">
    <w:name w:val="WW8Num29z0"/>
    <w:uiPriority w:val="99"/>
    <w:rPr>
      <w:rFonts w:ascii="Symbol" w:hAnsi="Symbol"/>
      <w:color w:val="auto"/>
    </w:rPr>
  </w:style>
  <w:style w:type="character" w:customStyle="1" w:styleId="WW8Num30z0">
    <w:name w:val="WW8Num30z0"/>
    <w:uiPriority w:val="99"/>
    <w:rPr>
      <w:rFonts w:ascii="Symbol" w:hAnsi="Symbol"/>
      <w:color w:val="auto"/>
    </w:rPr>
  </w:style>
  <w:style w:type="character" w:customStyle="1" w:styleId="WW8Num32z0">
    <w:name w:val="WW8Num32z0"/>
    <w:uiPriority w:val="99"/>
    <w:rPr>
      <w:rFonts w:ascii="Arial" w:hAnsi="Arial"/>
    </w:rPr>
  </w:style>
  <w:style w:type="character" w:customStyle="1" w:styleId="WW8Num32z1">
    <w:name w:val="WW8Num32z1"/>
    <w:uiPriority w:val="99"/>
    <w:rPr>
      <w:rFonts w:ascii="Courier New" w:hAnsi="Courier New"/>
    </w:rPr>
  </w:style>
  <w:style w:type="character" w:customStyle="1" w:styleId="WW8Num32z2">
    <w:name w:val="WW8Num32z2"/>
    <w:uiPriority w:val="99"/>
    <w:rPr>
      <w:rFonts w:ascii="Wingdings" w:hAnsi="Wingdings"/>
    </w:rPr>
  </w:style>
  <w:style w:type="character" w:customStyle="1" w:styleId="WW8Num32z3">
    <w:name w:val="WW8Num32z3"/>
    <w:uiPriority w:val="99"/>
    <w:rPr>
      <w:rFonts w:ascii="Symbol" w:hAnsi="Symbol"/>
    </w:rPr>
  </w:style>
  <w:style w:type="character" w:customStyle="1" w:styleId="WW8Num33z0">
    <w:name w:val="WW8Num33z0"/>
    <w:uiPriority w:val="99"/>
    <w:rPr>
      <w:rFonts w:ascii="Symbol" w:hAnsi="Symbol"/>
    </w:rPr>
  </w:style>
  <w:style w:type="character" w:customStyle="1" w:styleId="WW8Num34z0">
    <w:name w:val="WW8Num34z0"/>
    <w:uiPriority w:val="99"/>
    <w:rPr>
      <w:rFonts w:ascii="Book Antiqua" w:hAnsi="Book Antiqua"/>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4z3">
    <w:name w:val="WW8Num34z3"/>
    <w:uiPriority w:val="99"/>
    <w:rPr>
      <w:rFonts w:ascii="Symbol" w:hAnsi="Symbol"/>
    </w:rPr>
  </w:style>
  <w:style w:type="character" w:customStyle="1" w:styleId="WW8Num35z0">
    <w:name w:val="WW8Num35z0"/>
    <w:uiPriority w:val="99"/>
    <w:rPr>
      <w:rFonts w:ascii="Symbol" w:hAnsi="Symbol"/>
    </w:rPr>
  </w:style>
  <w:style w:type="character" w:customStyle="1" w:styleId="WW8Num36z0">
    <w:name w:val="WW8Num36z0"/>
    <w:uiPriority w:val="99"/>
    <w:rPr>
      <w:rFonts w:ascii="Symbol" w:hAnsi="Symbol"/>
    </w:rPr>
  </w:style>
  <w:style w:type="character" w:customStyle="1" w:styleId="WW8Num37z0">
    <w:name w:val="WW8Num37z0"/>
    <w:uiPriority w:val="99"/>
  </w:style>
  <w:style w:type="character" w:customStyle="1" w:styleId="WW8Num38z0">
    <w:name w:val="WW8Num38z0"/>
    <w:uiPriority w:val="99"/>
    <w:rPr>
      <w:rFonts w:ascii="Wingdings" w:hAnsi="Wingdings"/>
    </w:rPr>
  </w:style>
  <w:style w:type="character" w:customStyle="1" w:styleId="WW8Num39z0">
    <w:name w:val="WW8Num39z0"/>
    <w:uiPriority w:val="99"/>
    <w:rPr>
      <w:rFonts w:ascii="Symbol" w:hAnsi="Symbol"/>
    </w:rPr>
  </w:style>
  <w:style w:type="character" w:customStyle="1" w:styleId="WW8Num39z1">
    <w:name w:val="WW8Num39z1"/>
    <w:uiPriority w:val="99"/>
    <w:rPr>
      <w:rFonts w:ascii="Courier New" w:hAnsi="Courier New"/>
    </w:rPr>
  </w:style>
  <w:style w:type="character" w:customStyle="1" w:styleId="WW8Num39z2">
    <w:name w:val="WW8Num39z2"/>
    <w:uiPriority w:val="99"/>
    <w:rPr>
      <w:rFonts w:ascii="Wingdings" w:hAnsi="Wingdings"/>
    </w:rPr>
  </w:style>
  <w:style w:type="character" w:customStyle="1" w:styleId="WW8Num40z0">
    <w:name w:val="WW8Num40z0"/>
    <w:uiPriority w:val="99"/>
    <w:rPr>
      <w:rFonts w:ascii="Symbol" w:hAnsi="Symbol"/>
    </w:rPr>
  </w:style>
  <w:style w:type="character" w:customStyle="1" w:styleId="WW8Num40z1">
    <w:name w:val="WW8Num40z1"/>
    <w:uiPriority w:val="99"/>
    <w:rPr>
      <w:rFonts w:ascii="Courier New" w:hAnsi="Courier New"/>
    </w:rPr>
  </w:style>
  <w:style w:type="character" w:customStyle="1" w:styleId="WW8Num40z2">
    <w:name w:val="WW8Num40z2"/>
    <w:uiPriority w:val="99"/>
    <w:rPr>
      <w:rFonts w:ascii="Wingdings" w:hAnsi="Wingdings"/>
    </w:rPr>
  </w:style>
  <w:style w:type="character" w:customStyle="1" w:styleId="WW8Num41z0">
    <w:name w:val="WW8Num41z0"/>
    <w:uiPriority w:val="99"/>
    <w:rPr>
      <w:rFonts w:ascii="Wingdings" w:hAnsi="Wingdings"/>
    </w:rPr>
  </w:style>
  <w:style w:type="character" w:customStyle="1" w:styleId="WW8Num42z0">
    <w:name w:val="WW8Num42z0"/>
    <w:uiPriority w:val="99"/>
    <w:rPr>
      <w:b/>
    </w:rPr>
  </w:style>
  <w:style w:type="character" w:customStyle="1" w:styleId="WW8Num43z0">
    <w:name w:val="WW8Num43z0"/>
    <w:uiPriority w:val="99"/>
    <w:rPr>
      <w:rFonts w:ascii="Wingdings" w:hAnsi="Wingdings"/>
    </w:rPr>
  </w:style>
  <w:style w:type="character" w:customStyle="1" w:styleId="WW8Num43z1">
    <w:name w:val="WW8Num43z1"/>
    <w:uiPriority w:val="99"/>
    <w:rPr>
      <w:rFonts w:ascii="Courier New" w:hAnsi="Courier New"/>
    </w:rPr>
  </w:style>
  <w:style w:type="character" w:customStyle="1" w:styleId="WW8Num43z3">
    <w:name w:val="WW8Num43z3"/>
    <w:uiPriority w:val="99"/>
    <w:rPr>
      <w:rFonts w:ascii="Symbol" w:hAnsi="Symbol"/>
    </w:rPr>
  </w:style>
  <w:style w:type="character" w:customStyle="1" w:styleId="WW8Num44z0">
    <w:name w:val="WW8Num44z0"/>
    <w:uiPriority w:val="99"/>
    <w:rPr>
      <w:rFonts w:ascii="Symbol" w:hAnsi="Symbol"/>
    </w:rPr>
  </w:style>
  <w:style w:type="character" w:customStyle="1" w:styleId="WW8Num45z0">
    <w:name w:val="WW8Num45z0"/>
    <w:uiPriority w:val="99"/>
  </w:style>
  <w:style w:type="character" w:customStyle="1" w:styleId="WW8Num45z1">
    <w:name w:val="WW8Num45z1"/>
    <w:uiPriority w:val="99"/>
    <w:rPr>
      <w:rFonts w:ascii="Symbol" w:hAnsi="Symbol"/>
    </w:rPr>
  </w:style>
  <w:style w:type="character" w:customStyle="1" w:styleId="WW8Num46z0">
    <w:name w:val="WW8Num46z0"/>
    <w:uiPriority w:val="99"/>
    <w:rPr>
      <w:rFonts w:ascii="Symbol" w:hAnsi="Symbol"/>
    </w:rPr>
  </w:style>
  <w:style w:type="character" w:customStyle="1" w:styleId="WW8Num46z1">
    <w:name w:val="WW8Num46z1"/>
    <w:uiPriority w:val="99"/>
    <w:rPr>
      <w:rFonts w:ascii="Courier New" w:hAnsi="Courier New"/>
    </w:rPr>
  </w:style>
  <w:style w:type="character" w:customStyle="1" w:styleId="WW8Num46z2">
    <w:name w:val="WW8Num46z2"/>
    <w:uiPriority w:val="99"/>
    <w:rPr>
      <w:rFonts w:ascii="Wingdings" w:hAnsi="Wingdings"/>
    </w:rPr>
  </w:style>
  <w:style w:type="character" w:customStyle="1" w:styleId="WW8Num47z0">
    <w:name w:val="WW8Num47z0"/>
    <w:uiPriority w:val="99"/>
    <w:rPr>
      <w:rFonts w:ascii="Book Antiqua" w:hAnsi="Book Antiqua"/>
    </w:rPr>
  </w:style>
  <w:style w:type="character" w:customStyle="1" w:styleId="WW8Num47z1">
    <w:name w:val="WW8Num47z1"/>
    <w:uiPriority w:val="99"/>
    <w:rPr>
      <w:rFonts w:ascii="Courier New" w:hAnsi="Courier New"/>
    </w:rPr>
  </w:style>
  <w:style w:type="character" w:customStyle="1" w:styleId="WW8Num47z2">
    <w:name w:val="WW8Num47z2"/>
    <w:uiPriority w:val="99"/>
    <w:rPr>
      <w:rFonts w:ascii="Wingdings" w:hAnsi="Wingdings"/>
    </w:rPr>
  </w:style>
  <w:style w:type="character" w:customStyle="1" w:styleId="WW8Num47z3">
    <w:name w:val="WW8Num47z3"/>
    <w:uiPriority w:val="99"/>
    <w:rPr>
      <w:rFonts w:ascii="Symbol" w:hAnsi="Symbol"/>
    </w:rPr>
  </w:style>
  <w:style w:type="character" w:customStyle="1" w:styleId="WW8Num48z0">
    <w:name w:val="WW8Num48z0"/>
    <w:uiPriority w:val="99"/>
    <w:rPr>
      <w:rFonts w:ascii="Symbol" w:hAnsi="Symbol"/>
    </w:rPr>
  </w:style>
  <w:style w:type="character" w:customStyle="1" w:styleId="WW8Num48z1">
    <w:name w:val="WW8Num48z1"/>
    <w:uiPriority w:val="99"/>
    <w:rPr>
      <w:rFonts w:ascii="Courier New" w:hAnsi="Courier New"/>
    </w:rPr>
  </w:style>
  <w:style w:type="character" w:customStyle="1" w:styleId="WW8Num48z2">
    <w:name w:val="WW8Num48z2"/>
    <w:uiPriority w:val="99"/>
    <w:rPr>
      <w:rFonts w:ascii="Wingdings" w:hAnsi="Wingdings"/>
    </w:rPr>
  </w:style>
  <w:style w:type="character" w:customStyle="1" w:styleId="WW8Num49z0">
    <w:name w:val="WW8Num49z0"/>
    <w:uiPriority w:val="99"/>
    <w:rPr>
      <w:rFonts w:ascii="Symbol" w:hAnsi="Symbol"/>
    </w:rPr>
  </w:style>
  <w:style w:type="character" w:customStyle="1" w:styleId="WW8Num50z0">
    <w:name w:val="WW8Num50z0"/>
    <w:uiPriority w:val="99"/>
    <w:rPr>
      <w:rFonts w:ascii="Wingdings" w:hAnsi="Wingdings"/>
    </w:rPr>
  </w:style>
  <w:style w:type="character" w:customStyle="1" w:styleId="WW8Num50z1">
    <w:name w:val="WW8Num50z1"/>
    <w:uiPriority w:val="99"/>
    <w:rPr>
      <w:rFonts w:ascii="Courier New" w:hAnsi="Courier New"/>
    </w:rPr>
  </w:style>
  <w:style w:type="character" w:customStyle="1" w:styleId="WW8Num50z3">
    <w:name w:val="WW8Num50z3"/>
    <w:uiPriority w:val="99"/>
    <w:rPr>
      <w:rFonts w:ascii="Symbol" w:hAnsi="Symbol"/>
    </w:rPr>
  </w:style>
  <w:style w:type="character" w:customStyle="1" w:styleId="WW8Num52z0">
    <w:name w:val="WW8Num52z0"/>
    <w:uiPriority w:val="99"/>
    <w:rPr>
      <w:rFonts w:ascii="Symbol" w:hAnsi="Symbol"/>
    </w:rPr>
  </w:style>
  <w:style w:type="character" w:customStyle="1" w:styleId="Policepardfaut1">
    <w:name w:val="Police par défaut1"/>
    <w:uiPriority w:val="99"/>
  </w:style>
  <w:style w:type="character" w:customStyle="1" w:styleId="Docactif">
    <w:name w:val="Doc actif"/>
    <w:basedOn w:val="Policepardfaut1"/>
    <w:uiPriority w:val="99"/>
    <w:rPr>
      <w:rFonts w:cs="Times New Roman"/>
    </w:rPr>
  </w:style>
  <w:style w:type="character" w:customStyle="1" w:styleId="Caractresdenotedebasdepage">
    <w:name w:val="Caractères de note de bas de page"/>
    <w:basedOn w:val="Policepardfaut1"/>
    <w:uiPriority w:val="99"/>
    <w:rPr>
      <w:rFonts w:cs="Times New Roman"/>
      <w:vertAlign w:val="superscript"/>
    </w:rPr>
  </w:style>
  <w:style w:type="character" w:styleId="Numrodepage">
    <w:name w:val="page number"/>
    <w:basedOn w:val="Policepardfaut1"/>
    <w:uiPriority w:val="99"/>
    <w:rPr>
      <w:rFonts w:cs="Times New Roman"/>
    </w:rPr>
  </w:style>
  <w:style w:type="character" w:customStyle="1" w:styleId="Marquedecommentaire1">
    <w:name w:val="Marque de commentaire1"/>
    <w:basedOn w:val="Policepardfaut1"/>
    <w:uiPriority w:val="99"/>
    <w:rPr>
      <w:rFonts w:cs="Times New Roman"/>
      <w:sz w:val="16"/>
      <w:szCs w:val="16"/>
    </w:rPr>
  </w:style>
  <w:style w:type="character" w:customStyle="1" w:styleId="TitreCar">
    <w:name w:val="Titre Car"/>
    <w:basedOn w:val="Policepardfaut1"/>
    <w:uiPriority w:val="99"/>
    <w:rPr>
      <w:rFonts w:cs="Times New Roman"/>
      <w:b/>
      <w:bCs/>
      <w:sz w:val="28"/>
      <w:szCs w:val="28"/>
      <w:lang w:val="fr-FR" w:eastAsia="ar-SA" w:bidi="ar-SA"/>
    </w:rPr>
  </w:style>
  <w:style w:type="character" w:customStyle="1" w:styleId="niveau4Car">
    <w:name w:val="niveau 4 Car"/>
    <w:basedOn w:val="TitreCar"/>
    <w:uiPriority w:val="99"/>
    <w:rPr>
      <w:rFonts w:ascii="Book Antiqua" w:hAnsi="Book Antiqua" w:cs="Book Antiqua"/>
      <w:b/>
      <w:bCs/>
      <w:sz w:val="28"/>
      <w:szCs w:val="28"/>
      <w:u w:val="single"/>
      <w:lang w:val="fr-BE" w:eastAsia="ar-SA" w:bidi="ar-SA"/>
    </w:rPr>
  </w:style>
  <w:style w:type="character" w:customStyle="1" w:styleId="LgendeCar">
    <w:name w:val="Légende Car"/>
    <w:basedOn w:val="Policepardfaut1"/>
    <w:uiPriority w:val="99"/>
    <w:rPr>
      <w:rFonts w:cs="Times New Roman"/>
      <w:b/>
      <w:bCs/>
      <w:i/>
      <w:iCs/>
      <w:sz w:val="24"/>
      <w:szCs w:val="24"/>
      <w:u w:val="single"/>
      <w:lang w:val="fr-FR" w:eastAsia="ar-SA" w:bidi="ar-SA"/>
    </w:rPr>
  </w:style>
  <w:style w:type="character" w:customStyle="1" w:styleId="niveau3Car">
    <w:name w:val="niveau 3 Car"/>
    <w:basedOn w:val="Policepardfaut1"/>
    <w:uiPriority w:val="99"/>
    <w:rPr>
      <w:rFonts w:ascii="Book Antiqua" w:hAnsi="Book Antiqua" w:cs="Book Antiqua"/>
      <w:b/>
      <w:bCs/>
      <w:caps/>
      <w:sz w:val="24"/>
      <w:szCs w:val="24"/>
      <w:lang w:val="fr-FR" w:eastAsia="ar-SA" w:bidi="ar-SA"/>
    </w:rPr>
  </w:style>
  <w:style w:type="character" w:customStyle="1" w:styleId="niveau2Car">
    <w:name w:val="niveau 2 Car"/>
    <w:basedOn w:val="Policepardfaut1"/>
    <w:uiPriority w:val="99"/>
    <w:rPr>
      <w:rFonts w:ascii="Book Antiqua" w:hAnsi="Book Antiqua" w:cs="Book Antiqua"/>
      <w:b/>
      <w:spacing w:val="-4"/>
      <w:sz w:val="32"/>
      <w:u w:val="single"/>
      <w:lang w:val="fr-FR" w:eastAsia="ar-SA" w:bidi="ar-SA"/>
    </w:rPr>
  </w:style>
  <w:style w:type="character" w:styleId="Lienhypertexte">
    <w:name w:val="Hyperlink"/>
    <w:basedOn w:val="Policepardfaut1"/>
    <w:uiPriority w:val="99"/>
    <w:rPr>
      <w:rFonts w:cs="Times New Roman"/>
      <w:color w:val="0000FF"/>
      <w:u w:val="single"/>
    </w:rPr>
  </w:style>
  <w:style w:type="character" w:customStyle="1" w:styleId="1">
    <w:name w:val="(1)"/>
    <w:basedOn w:val="Policepardfaut1"/>
    <w:uiPriority w:val="99"/>
    <w:rPr>
      <w:rFonts w:ascii="Book Antiqua" w:hAnsi="Book Antiqua" w:cs="Book Antiqua"/>
      <w:spacing w:val="-2"/>
      <w:sz w:val="24"/>
      <w:u w:val="single"/>
    </w:rPr>
  </w:style>
  <w:style w:type="character" w:customStyle="1" w:styleId="bookantica10Car">
    <w:name w:val="book antica 10 Car"/>
    <w:basedOn w:val="niveau3Car"/>
    <w:uiPriority w:val="99"/>
    <w:rPr>
      <w:rFonts w:ascii="Book Antiqua" w:hAnsi="Book Antiqua" w:cs="Book Antiqua"/>
      <w:b/>
      <w:bCs/>
      <w:caps/>
      <w:spacing w:val="-3"/>
      <w:sz w:val="24"/>
      <w:szCs w:val="24"/>
      <w:lang w:val="fr-FR" w:eastAsia="ar-SA" w:bidi="ar-SA"/>
    </w:rPr>
  </w:style>
  <w:style w:type="character" w:customStyle="1" w:styleId="TM4Car">
    <w:name w:val="TM4 Car"/>
    <w:basedOn w:val="Policepardfaut1"/>
    <w:uiPriority w:val="99"/>
    <w:rPr>
      <w:rFonts w:ascii="Book Antiqua" w:hAnsi="Book Antiqua" w:cs="Book Antiqua"/>
      <w:smallCaps/>
      <w:sz w:val="24"/>
      <w:szCs w:val="24"/>
      <w:u w:val="single"/>
      <w:lang w:val="fr-BE" w:eastAsia="ar-SA" w:bidi="ar-SA"/>
    </w:rPr>
  </w:style>
  <w:style w:type="character" w:styleId="Appelnotedebasdep">
    <w:name w:val="footnote reference"/>
    <w:basedOn w:val="Policepardfaut"/>
    <w:rPr>
      <w:rFonts w:cs="Times New Roman"/>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customStyle="1" w:styleId="Caractresdenotedefin">
    <w:name w:val="Caractères de note de fin"/>
    <w:uiPriority w:val="99"/>
  </w:style>
  <w:style w:type="paragraph" w:customStyle="1" w:styleId="Titre10">
    <w:name w:val="Titre1"/>
    <w:basedOn w:val="Normal"/>
    <w:next w:val="Corpsdetexte"/>
    <w:uiPriority w:val="99"/>
    <w:pPr>
      <w:spacing w:before="240" w:after="60"/>
      <w:jc w:val="center"/>
    </w:pPr>
    <w:rPr>
      <w:rFonts w:ascii="Arial" w:hAnsi="Arial" w:cs="Arial"/>
      <w:b/>
      <w:bCs/>
      <w:kern w:val="1"/>
      <w:sz w:val="32"/>
      <w:szCs w:val="32"/>
    </w:rPr>
  </w:style>
  <w:style w:type="paragraph" w:styleId="Corpsdetexte">
    <w:name w:val="Body Text"/>
    <w:basedOn w:val="Normal"/>
    <w:link w:val="CorpsdetexteCar"/>
    <w:uiPriority w:val="99"/>
    <w:pPr>
      <w:jc w:val="both"/>
    </w:pPr>
    <w:rPr>
      <w:sz w:val="24"/>
      <w:szCs w:val="24"/>
    </w:rPr>
  </w:style>
  <w:style w:type="character" w:customStyle="1" w:styleId="CorpsdetexteCar">
    <w:name w:val="Corps de texte Car"/>
    <w:basedOn w:val="Policepardfaut"/>
    <w:link w:val="Corpsdetexte"/>
    <w:uiPriority w:val="99"/>
    <w:rPr>
      <w:rFonts w:ascii="Times New Roman" w:eastAsia="Times New Roman" w:hAnsi="Times New Roman" w:cs="Times New Roman"/>
      <w:sz w:val="24"/>
      <w:szCs w:val="24"/>
      <w:lang w:val="fr-FR" w:eastAsia="ar-SA"/>
    </w:rPr>
  </w:style>
  <w:style w:type="paragraph" w:styleId="Liste">
    <w:name w:val="List"/>
    <w:basedOn w:val="Normal"/>
    <w:uiPriority w:val="99"/>
    <w:pPr>
      <w:ind w:left="283" w:hanging="283"/>
    </w:pPr>
  </w:style>
  <w:style w:type="paragraph" w:customStyle="1" w:styleId="Lgende1">
    <w:name w:val="Légende1"/>
    <w:basedOn w:val="Normal"/>
    <w:next w:val="Normal"/>
    <w:uiPriority w:val="99"/>
    <w:rPr>
      <w:b/>
      <w:bCs/>
      <w:i/>
      <w:iCs/>
      <w:sz w:val="24"/>
      <w:szCs w:val="24"/>
      <w:u w:val="single"/>
    </w:rPr>
  </w:style>
  <w:style w:type="paragraph" w:customStyle="1" w:styleId="Index">
    <w:name w:val="Index"/>
    <w:basedOn w:val="Normal"/>
    <w:uiPriority w:val="99"/>
    <w:pPr>
      <w:suppressLineNumbers/>
    </w:pPr>
    <w:rPr>
      <w:rFonts w:cs="Lohit Hindi"/>
    </w:rPr>
  </w:style>
  <w:style w:type="paragraph" w:customStyle="1" w:styleId="niveau2">
    <w:name w:val="niveau 2"/>
    <w:basedOn w:val="Normal"/>
    <w:uiPriority w:val="99"/>
    <w:pPr>
      <w:shd w:val="clear" w:color="auto" w:fill="D8D8D8"/>
      <w:tabs>
        <w:tab w:val="center" w:pos="-1440"/>
        <w:tab w:val="left" w:pos="-720"/>
        <w:tab w:val="left" w:pos="4820"/>
      </w:tabs>
      <w:spacing w:before="120" w:after="480"/>
      <w:jc w:val="center"/>
    </w:pPr>
    <w:rPr>
      <w:rFonts w:ascii="Book Antiqua" w:hAnsi="Book Antiqua" w:cs="Book Antiqua"/>
      <w:b/>
      <w:spacing w:val="-4"/>
      <w:sz w:val="32"/>
      <w:u w:val="single"/>
    </w:rPr>
  </w:style>
  <w:style w:type="paragraph" w:customStyle="1" w:styleId="niveau3">
    <w:name w:val="niveau 3"/>
    <w:basedOn w:val="Normal"/>
    <w:uiPriority w:val="99"/>
    <w:pPr>
      <w:spacing w:before="120" w:after="120"/>
      <w:jc w:val="both"/>
    </w:pPr>
    <w:rPr>
      <w:rFonts w:ascii="Book Antiqua" w:hAnsi="Book Antiqua" w:cs="Book Antiqua"/>
      <w:b/>
      <w:bCs/>
      <w:caps/>
      <w:sz w:val="24"/>
    </w:rPr>
  </w:style>
  <w:style w:type="paragraph" w:customStyle="1" w:styleId="niveau4">
    <w:name w:val="niveau 4"/>
    <w:basedOn w:val="Titre10"/>
    <w:uiPriority w:val="99"/>
    <w:pPr>
      <w:tabs>
        <w:tab w:val="left" w:pos="0"/>
      </w:tabs>
      <w:spacing w:after="240"/>
      <w:jc w:val="left"/>
    </w:pPr>
    <w:rPr>
      <w:rFonts w:ascii="Book Antiqua" w:hAnsi="Book Antiqua" w:cs="Times New Roman"/>
      <w:b w:val="0"/>
      <w:sz w:val="20"/>
      <w:szCs w:val="20"/>
      <w:u w:val="single"/>
      <w:lang w:val="fr-BE"/>
    </w:rPr>
  </w:style>
  <w:style w:type="paragraph" w:customStyle="1" w:styleId="Listepuces1">
    <w:name w:val="Liste à puces1"/>
    <w:basedOn w:val="Normal"/>
    <w:uiPriority w:val="99"/>
    <w:pPr>
      <w:tabs>
        <w:tab w:val="left" w:pos="360"/>
      </w:tabs>
      <w:ind w:left="360" w:hanging="360"/>
    </w:pPr>
    <w:rPr>
      <w:rFonts w:ascii="Courier New" w:hAnsi="Courier New" w:cs="Courier New"/>
      <w:sz w:val="24"/>
      <w:szCs w:val="24"/>
    </w:rPr>
  </w:style>
  <w:style w:type="paragraph" w:customStyle="1" w:styleId="Listepuces21">
    <w:name w:val="Liste à puces 21"/>
    <w:basedOn w:val="Normal"/>
    <w:uiPriority w:val="99"/>
    <w:pPr>
      <w:tabs>
        <w:tab w:val="left" w:pos="643"/>
      </w:tabs>
      <w:ind w:left="643" w:hanging="360"/>
    </w:pPr>
    <w:rPr>
      <w:rFonts w:ascii="Courier New" w:hAnsi="Courier New" w:cs="Courier New"/>
      <w:sz w:val="24"/>
      <w:szCs w:val="24"/>
    </w:rPr>
  </w:style>
  <w:style w:type="paragraph" w:customStyle="1" w:styleId="Listepuces31">
    <w:name w:val="Liste à puces 31"/>
    <w:basedOn w:val="Normal"/>
    <w:uiPriority w:val="99"/>
    <w:pPr>
      <w:tabs>
        <w:tab w:val="left" w:pos="926"/>
      </w:tabs>
      <w:ind w:left="926" w:hanging="360"/>
    </w:pPr>
    <w:rPr>
      <w:rFonts w:ascii="Courier New" w:hAnsi="Courier New" w:cs="Courier New"/>
      <w:sz w:val="24"/>
      <w:szCs w:val="24"/>
    </w:rPr>
  </w:style>
  <w:style w:type="paragraph" w:customStyle="1" w:styleId="Retraitcorpsdetexte21">
    <w:name w:val="Retrait corps de texte 21"/>
    <w:basedOn w:val="Normal"/>
    <w:uiPriority w:val="99"/>
    <w:pPr>
      <w:spacing w:before="120"/>
      <w:ind w:left="709"/>
      <w:jc w:val="both"/>
    </w:pPr>
    <w:rPr>
      <w:sz w:val="24"/>
      <w:szCs w:val="24"/>
    </w:rPr>
  </w:style>
  <w:style w:type="paragraph" w:customStyle="1" w:styleId="Document1">
    <w:name w:val="Document 1"/>
    <w:uiPriority w:val="99"/>
    <w:pPr>
      <w:keepNext/>
      <w:keepLines/>
      <w:tabs>
        <w:tab w:val="left" w:pos="-720"/>
      </w:tabs>
      <w:suppressAutoHyphens/>
      <w:spacing w:after="0" w:line="240" w:lineRule="auto"/>
    </w:pPr>
    <w:rPr>
      <w:rFonts w:ascii="Courier New" w:eastAsia="Times New Roman" w:hAnsi="Courier New" w:cs="Courier New"/>
      <w:sz w:val="24"/>
      <w:szCs w:val="24"/>
      <w:lang w:val="en-US" w:eastAsia="ar-SA"/>
    </w:rPr>
  </w:style>
  <w:style w:type="paragraph" w:customStyle="1" w:styleId="Corpsdetexte31">
    <w:name w:val="Corps de texte 31"/>
    <w:basedOn w:val="Normal"/>
    <w:uiPriority w:val="99"/>
    <w:pPr>
      <w:tabs>
        <w:tab w:val="left" w:pos="-1440"/>
        <w:tab w:val="left" w:pos="-720"/>
      </w:tabs>
      <w:jc w:val="center"/>
    </w:pPr>
    <w:rPr>
      <w:b/>
      <w:bCs/>
      <w:spacing w:val="-2"/>
      <w:sz w:val="26"/>
      <w:szCs w:val="26"/>
      <w:u w:val="single"/>
    </w:rPr>
  </w:style>
  <w:style w:type="paragraph" w:customStyle="1" w:styleId="Corpsdetexte21">
    <w:name w:val="Corps de texte 21"/>
    <w:basedOn w:val="Normal"/>
    <w:uiPriority w:val="99"/>
    <w:pPr>
      <w:tabs>
        <w:tab w:val="left" w:pos="1922"/>
      </w:tabs>
      <w:jc w:val="both"/>
    </w:pPr>
    <w:rPr>
      <w:i/>
      <w:iCs/>
      <w:spacing w:val="-2"/>
      <w:sz w:val="24"/>
      <w:szCs w:val="24"/>
    </w:rPr>
  </w:style>
  <w:style w:type="paragraph" w:styleId="Notedebasdepage">
    <w:name w:val="footnote text"/>
    <w:basedOn w:val="Normal"/>
    <w:link w:val="NotedebasdepageCar"/>
    <w:rPr>
      <w:rFonts w:ascii="Courier New" w:hAnsi="Courier New" w:cs="Courier New"/>
    </w:rPr>
  </w:style>
  <w:style w:type="character" w:customStyle="1" w:styleId="NotedebasdepageCar">
    <w:name w:val="Note de bas de page Car"/>
    <w:basedOn w:val="Policepardfaut"/>
    <w:link w:val="Notedebasdepage"/>
    <w:rPr>
      <w:rFonts w:ascii="Courier New" w:eastAsia="Times New Roman" w:hAnsi="Courier New" w:cs="Courier New"/>
      <w:sz w:val="20"/>
      <w:szCs w:val="20"/>
      <w:lang w:val="fr-FR" w:eastAsia="ar-SA"/>
    </w:rPr>
  </w:style>
  <w:style w:type="paragraph" w:customStyle="1" w:styleId="Technique4">
    <w:name w:val="Technique 4"/>
    <w:uiPriority w:val="99"/>
    <w:pPr>
      <w:tabs>
        <w:tab w:val="left" w:pos="-720"/>
      </w:tabs>
      <w:suppressAutoHyphens/>
      <w:spacing w:after="0" w:line="240" w:lineRule="auto"/>
    </w:pPr>
    <w:rPr>
      <w:rFonts w:ascii="Courier New" w:eastAsia="Times New Roman" w:hAnsi="Courier New" w:cs="Courier New"/>
      <w:b/>
      <w:bCs/>
      <w:sz w:val="24"/>
      <w:szCs w:val="24"/>
      <w:lang w:val="en-US" w:eastAsia="ar-SA"/>
    </w:rPr>
  </w:style>
  <w:style w:type="paragraph" w:customStyle="1" w:styleId="Retraitcorpsdetexte31">
    <w:name w:val="Retrait corps de texte 31"/>
    <w:basedOn w:val="Normal"/>
    <w:uiPriority w:val="99"/>
    <w:pPr>
      <w:tabs>
        <w:tab w:val="left" w:pos="1315"/>
        <w:tab w:val="left" w:pos="1594"/>
        <w:tab w:val="left" w:pos="1752"/>
        <w:tab w:val="left" w:pos="1922"/>
        <w:tab w:val="left" w:pos="5335"/>
      </w:tabs>
      <w:spacing w:after="240"/>
      <w:ind w:left="425"/>
      <w:jc w:val="both"/>
    </w:pPr>
    <w:rPr>
      <w:i/>
      <w:iCs/>
      <w:spacing w:val="-2"/>
      <w:sz w:val="24"/>
      <w:szCs w:val="24"/>
    </w:rPr>
  </w:style>
  <w:style w:type="paragraph" w:styleId="Retraitcorpsdetexte">
    <w:name w:val="Body Text Indent"/>
    <w:basedOn w:val="Normal"/>
    <w:link w:val="RetraitcorpsdetexteCar"/>
    <w:uiPriority w:val="99"/>
    <w:pPr>
      <w:tabs>
        <w:tab w:val="left" w:pos="7064"/>
      </w:tabs>
      <w:ind w:left="709" w:hanging="425"/>
      <w:jc w:val="both"/>
    </w:pPr>
    <w:rPr>
      <w:spacing w:val="-2"/>
      <w:sz w:val="24"/>
      <w:szCs w:val="24"/>
    </w:rPr>
  </w:style>
  <w:style w:type="character" w:customStyle="1" w:styleId="RetraitcorpsdetexteCar">
    <w:name w:val="Retrait corps de texte Car"/>
    <w:basedOn w:val="Policepardfaut"/>
    <w:link w:val="Retraitcorpsdetexte"/>
    <w:uiPriority w:val="99"/>
    <w:rPr>
      <w:rFonts w:ascii="Times New Roman" w:eastAsia="Times New Roman" w:hAnsi="Times New Roman" w:cs="Times New Roman"/>
      <w:spacing w:val="-2"/>
      <w:sz w:val="24"/>
      <w:szCs w:val="24"/>
      <w:lang w:val="fr-FR" w:eastAsia="ar-SA"/>
    </w:rPr>
  </w:style>
  <w:style w:type="paragraph" w:customStyle="1" w:styleId="Normalcentr1">
    <w:name w:val="Normal centré1"/>
    <w:basedOn w:val="Normal"/>
    <w:uiPriority w:val="99"/>
    <w:pPr>
      <w:ind w:left="305" w:right="-120" w:hanging="282"/>
    </w:pPr>
    <w:rPr>
      <w:spacing w:val="-2"/>
      <w:sz w:val="24"/>
      <w:szCs w:val="24"/>
    </w:rPr>
  </w:style>
  <w:style w:type="paragraph" w:styleId="Pieddepage">
    <w:name w:val="footer"/>
    <w:basedOn w:val="Normal"/>
    <w:link w:val="PieddepageCar"/>
    <w:uiPriority w:val="99"/>
    <w:pPr>
      <w:tabs>
        <w:tab w:val="center" w:pos="4536"/>
        <w:tab w:val="right" w:pos="9072"/>
      </w:tabs>
    </w:pPr>
    <w:rPr>
      <w:rFonts w:ascii="Courier New" w:hAnsi="Courier New" w:cs="Courier New"/>
      <w:sz w:val="24"/>
      <w:szCs w:val="24"/>
    </w:rPr>
  </w:style>
  <w:style w:type="character" w:customStyle="1" w:styleId="PieddepageCar">
    <w:name w:val="Pied de page Car"/>
    <w:basedOn w:val="Policepardfaut"/>
    <w:link w:val="Pieddepage"/>
    <w:uiPriority w:val="99"/>
    <w:rPr>
      <w:rFonts w:ascii="Courier New" w:eastAsia="Times New Roman" w:hAnsi="Courier New" w:cs="Courier New"/>
      <w:sz w:val="24"/>
      <w:szCs w:val="24"/>
      <w:lang w:val="fr-FR" w:eastAsia="ar-SA"/>
    </w:rPr>
  </w:style>
  <w:style w:type="paragraph" w:styleId="En-tte">
    <w:name w:val="header"/>
    <w:basedOn w:val="Normal"/>
    <w:link w:val="En-tteCar"/>
    <w:uiPriority w:val="99"/>
    <w:pPr>
      <w:tabs>
        <w:tab w:val="center" w:pos="4536"/>
        <w:tab w:val="right" w:pos="9072"/>
      </w:tabs>
    </w:pPr>
  </w:style>
  <w:style w:type="character" w:customStyle="1" w:styleId="En-tteCar">
    <w:name w:val="En-tête Car"/>
    <w:basedOn w:val="Policepardfaut"/>
    <w:link w:val="En-tte"/>
    <w:uiPriority w:val="99"/>
    <w:rPr>
      <w:rFonts w:ascii="Times New Roman" w:eastAsia="Times New Roman" w:hAnsi="Times New Roman" w:cs="Times New Roman"/>
      <w:sz w:val="20"/>
      <w:szCs w:val="20"/>
      <w:lang w:val="fr-FR" w:eastAsia="ar-SA"/>
    </w:rPr>
  </w:style>
  <w:style w:type="paragraph" w:customStyle="1" w:styleId="Explorateurdedocument1">
    <w:name w:val="Explorateur de document1"/>
    <w:basedOn w:val="Normal"/>
    <w:uiPriority w:val="99"/>
    <w:pPr>
      <w:shd w:val="clear" w:color="auto" w:fill="000080"/>
    </w:pPr>
    <w:rPr>
      <w:rFonts w:ascii="Tahoma" w:hAnsi="Tahoma" w:cs="Tahoma"/>
    </w:rPr>
  </w:style>
  <w:style w:type="paragraph" w:customStyle="1" w:styleId="Liste21">
    <w:name w:val="Liste 21"/>
    <w:basedOn w:val="Normal"/>
    <w:uiPriority w:val="99"/>
    <w:pPr>
      <w:ind w:left="566" w:hanging="283"/>
    </w:pPr>
  </w:style>
  <w:style w:type="paragraph" w:styleId="Sous-titre">
    <w:name w:val="Subtitle"/>
    <w:basedOn w:val="Normal"/>
    <w:next w:val="Corpsdetexte"/>
    <w:link w:val="Sous-titreCar"/>
    <w:uiPriority w:val="99"/>
    <w:qFormat/>
    <w:rPr>
      <w:b/>
      <w:bCs/>
      <w:sz w:val="28"/>
      <w:szCs w:val="28"/>
      <w:u w:val="single"/>
    </w:rPr>
  </w:style>
  <w:style w:type="character" w:customStyle="1" w:styleId="Sous-titreCar">
    <w:name w:val="Sous-titre Car"/>
    <w:basedOn w:val="Policepardfaut"/>
    <w:link w:val="Sous-titre"/>
    <w:uiPriority w:val="99"/>
    <w:rPr>
      <w:rFonts w:ascii="Times New Roman" w:eastAsia="Times New Roman" w:hAnsi="Times New Roman" w:cs="Times New Roman"/>
      <w:b/>
      <w:bCs/>
      <w:sz w:val="28"/>
      <w:szCs w:val="28"/>
      <w:u w:val="single"/>
      <w:lang w:val="fr-FR" w:eastAsia="ar-SA"/>
    </w:rPr>
  </w:style>
  <w:style w:type="paragraph" w:customStyle="1" w:styleId="Commentaire1">
    <w:name w:val="Commentaire1"/>
    <w:basedOn w:val="Normal"/>
    <w:uiPriority w:val="99"/>
  </w:style>
  <w:style w:type="paragraph" w:customStyle="1" w:styleId="Listecontinue1">
    <w:name w:val="Liste continue1"/>
    <w:basedOn w:val="Normal"/>
    <w:uiPriority w:val="99"/>
    <w:pPr>
      <w:spacing w:after="120"/>
      <w:ind w:left="283"/>
    </w:pPr>
  </w:style>
  <w:style w:type="paragraph" w:customStyle="1" w:styleId="Textebrut1">
    <w:name w:val="Texte brut1"/>
    <w:basedOn w:val="Normal"/>
    <w:uiPriority w:val="99"/>
    <w:pPr>
      <w:widowControl w:val="0"/>
      <w:ind w:left="1440" w:hanging="720"/>
      <w:jc w:val="both"/>
    </w:pPr>
    <w:rPr>
      <w:rFonts w:ascii="Courier New" w:hAnsi="Courier New" w:cs="Courier New"/>
      <w:lang w:val="en-US"/>
    </w:rPr>
  </w:style>
  <w:style w:type="paragraph" w:customStyle="1" w:styleId="Level1">
    <w:name w:val="Level 1"/>
    <w:basedOn w:val="Normal"/>
    <w:uiPriority w:val="99"/>
    <w:pPr>
      <w:widowControl w:val="0"/>
      <w:ind w:left="720" w:hanging="720"/>
    </w:pPr>
    <w:rPr>
      <w:sz w:val="24"/>
      <w:szCs w:val="24"/>
      <w:lang w:val="en-US"/>
    </w:rPr>
  </w:style>
  <w:style w:type="paragraph" w:styleId="NormalWeb">
    <w:name w:val="Normal (Web)"/>
    <w:basedOn w:val="Normal"/>
    <w:uiPriority w:val="99"/>
    <w:pPr>
      <w:spacing w:before="100" w:after="100"/>
    </w:pPr>
    <w:rPr>
      <w:sz w:val="24"/>
    </w:rPr>
  </w:style>
  <w:style w:type="paragraph" w:styleId="Textedebulles">
    <w:name w:val="Balloon Text"/>
    <w:basedOn w:val="Normal"/>
    <w:link w:val="TextedebullesCar"/>
    <w:uiPriority w:val="99"/>
    <w:rPr>
      <w:rFonts w:ascii="Tahoma" w:hAnsi="Tahoma" w:cs="Tahoma"/>
      <w:sz w:val="16"/>
      <w:szCs w:val="16"/>
    </w:rPr>
  </w:style>
  <w:style w:type="character" w:customStyle="1" w:styleId="TextedebullesCar">
    <w:name w:val="Texte de bulles Car"/>
    <w:basedOn w:val="Policepardfaut"/>
    <w:link w:val="Textedebulles"/>
    <w:uiPriority w:val="99"/>
    <w:rPr>
      <w:rFonts w:ascii="Tahoma" w:eastAsia="Times New Roman" w:hAnsi="Tahoma" w:cs="Tahoma"/>
      <w:sz w:val="16"/>
      <w:szCs w:val="16"/>
      <w:lang w:val="fr-FR" w:eastAsia="ar-SA"/>
    </w:rPr>
  </w:style>
  <w:style w:type="paragraph" w:styleId="TM1">
    <w:name w:val="toc 1"/>
    <w:basedOn w:val="Normal"/>
    <w:next w:val="Normal"/>
    <w:uiPriority w:val="39"/>
    <w:pPr>
      <w:spacing w:before="120"/>
    </w:pPr>
    <w:rPr>
      <w:b/>
      <w:bCs/>
      <w:i/>
      <w:iCs/>
      <w:sz w:val="24"/>
      <w:szCs w:val="24"/>
    </w:rPr>
  </w:style>
  <w:style w:type="paragraph" w:styleId="TM2">
    <w:name w:val="toc 2"/>
    <w:basedOn w:val="Normal"/>
    <w:next w:val="Normal"/>
    <w:uiPriority w:val="39"/>
    <w:pPr>
      <w:tabs>
        <w:tab w:val="right" w:leader="underscore" w:pos="9487"/>
      </w:tabs>
      <w:spacing w:before="120"/>
      <w:ind w:left="200"/>
    </w:pPr>
    <w:rPr>
      <w:rFonts w:ascii="Book Antiqua" w:hAnsi="Book Antiqua" w:cs="Book Antiqua"/>
      <w:b/>
      <w:bCs/>
      <w:caps/>
      <w:sz w:val="24"/>
      <w:szCs w:val="24"/>
      <w:lang w:val="fr-BE"/>
    </w:rPr>
  </w:style>
  <w:style w:type="paragraph" w:styleId="TM3">
    <w:name w:val="toc 3"/>
    <w:basedOn w:val="Normal"/>
    <w:next w:val="Normal"/>
    <w:uiPriority w:val="39"/>
    <w:pPr>
      <w:tabs>
        <w:tab w:val="right" w:leader="underscore" w:pos="9487"/>
      </w:tabs>
      <w:ind w:left="400"/>
    </w:pPr>
    <w:rPr>
      <w:rFonts w:cs="Courier New"/>
      <w:lang w:val="fr-BE"/>
    </w:rPr>
  </w:style>
  <w:style w:type="paragraph" w:styleId="TM4">
    <w:name w:val="toc 4"/>
    <w:basedOn w:val="Normal"/>
    <w:next w:val="Normal"/>
    <w:uiPriority w:val="39"/>
    <w:pPr>
      <w:tabs>
        <w:tab w:val="right" w:leader="underscore" w:pos="9487"/>
      </w:tabs>
      <w:ind w:left="600"/>
    </w:pPr>
    <w:rPr>
      <w:rFonts w:ascii="Book Antiqua" w:hAnsi="Book Antiqua" w:cs="Book Antiqua"/>
      <w:smallCaps/>
      <w:lang w:val="fr-BE"/>
    </w:rPr>
  </w:style>
  <w:style w:type="paragraph" w:styleId="TM5">
    <w:name w:val="toc 5"/>
    <w:basedOn w:val="Normal"/>
    <w:next w:val="Normal"/>
    <w:uiPriority w:val="39"/>
    <w:pPr>
      <w:ind w:left="800"/>
    </w:pPr>
  </w:style>
  <w:style w:type="paragraph" w:styleId="TM6">
    <w:name w:val="toc 6"/>
    <w:basedOn w:val="Normal"/>
    <w:next w:val="Normal"/>
    <w:uiPriority w:val="39"/>
    <w:pPr>
      <w:ind w:left="1000"/>
    </w:pPr>
  </w:style>
  <w:style w:type="paragraph" w:styleId="TM7">
    <w:name w:val="toc 7"/>
    <w:basedOn w:val="Normal"/>
    <w:next w:val="Normal"/>
    <w:uiPriority w:val="39"/>
    <w:pPr>
      <w:ind w:left="1200"/>
    </w:pPr>
  </w:style>
  <w:style w:type="paragraph" w:styleId="TM8">
    <w:name w:val="toc 8"/>
    <w:basedOn w:val="Normal"/>
    <w:next w:val="Normal"/>
    <w:uiPriority w:val="39"/>
    <w:pPr>
      <w:ind w:left="1400"/>
    </w:pPr>
  </w:style>
  <w:style w:type="paragraph" w:styleId="TM9">
    <w:name w:val="toc 9"/>
    <w:basedOn w:val="Normal"/>
    <w:next w:val="Normal"/>
    <w:uiPriority w:val="39"/>
    <w:pPr>
      <w:ind w:left="1600"/>
    </w:pPr>
  </w:style>
  <w:style w:type="paragraph" w:customStyle="1" w:styleId="niveau5">
    <w:name w:val="niveau 5"/>
    <w:basedOn w:val="niveau3"/>
    <w:uiPriority w:val="99"/>
    <w:rPr>
      <w:b w:val="0"/>
      <w:sz w:val="32"/>
    </w:rPr>
  </w:style>
  <w:style w:type="paragraph" w:customStyle="1" w:styleId="niveau7">
    <w:name w:val="niveau 7"/>
    <w:basedOn w:val="Normal"/>
    <w:uiPriority w:val="99"/>
    <w:pPr>
      <w:tabs>
        <w:tab w:val="left" w:pos="4253"/>
        <w:tab w:val="left" w:pos="4536"/>
        <w:tab w:val="left" w:pos="8080"/>
      </w:tabs>
      <w:jc w:val="both"/>
    </w:pPr>
  </w:style>
  <w:style w:type="paragraph" w:customStyle="1" w:styleId="bookantica10">
    <w:name w:val="book antica 10"/>
    <w:basedOn w:val="niveau3"/>
    <w:uiPriority w:val="99"/>
    <w:rPr>
      <w:b w:val="0"/>
      <w:bCs w:val="0"/>
      <w:caps w:val="0"/>
      <w:spacing w:val="-3"/>
      <w:sz w:val="20"/>
    </w:rPr>
  </w:style>
  <w:style w:type="paragraph" w:customStyle="1" w:styleId="Normal1">
    <w:name w:val="Normal1"/>
    <w:uiPriority w:val="99"/>
    <w:pPr>
      <w:suppressAutoHyphens/>
      <w:autoSpaceDE w:val="0"/>
      <w:spacing w:after="0" w:line="240" w:lineRule="auto"/>
    </w:pPr>
    <w:rPr>
      <w:rFonts w:ascii="Tahoma" w:eastAsia="Times New Roman" w:hAnsi="Tahoma" w:cs="Tahoma"/>
      <w:color w:val="000000"/>
      <w:sz w:val="24"/>
      <w:szCs w:val="24"/>
      <w:lang w:val="fr-FR" w:eastAsia="ar-SA"/>
    </w:rPr>
  </w:style>
  <w:style w:type="paragraph" w:customStyle="1" w:styleId="Paragraphedeliste1">
    <w:name w:val="Paragraphe de liste1"/>
    <w:basedOn w:val="Normal"/>
    <w:uiPriority w:val="99"/>
    <w:pPr>
      <w:spacing w:after="200" w:line="276" w:lineRule="auto"/>
      <w:ind w:left="720"/>
    </w:pPr>
    <w:rPr>
      <w:rFonts w:ascii="Calibri" w:hAnsi="Calibri" w:cs="Calibri"/>
      <w:sz w:val="22"/>
      <w:szCs w:val="22"/>
      <w:lang w:val="fr-BE"/>
    </w:rPr>
  </w:style>
  <w:style w:type="paragraph" w:customStyle="1" w:styleId="Contenudetableau">
    <w:name w:val="Contenu de tableau"/>
    <w:basedOn w:val="Normal"/>
    <w:uiPriority w:val="99"/>
    <w:pPr>
      <w:suppressLineNumbers/>
    </w:p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style>
  <w:style w:type="paragraph" w:styleId="Retraitcorpsdetexte2">
    <w:name w:val="Body Text Indent 2"/>
    <w:basedOn w:val="Normal"/>
    <w:link w:val="Retraitcorpsdetexte2Car"/>
    <w:uiPriority w:val="99"/>
    <w:pPr>
      <w:spacing w:after="120" w:line="480" w:lineRule="auto"/>
      <w:ind w:left="283"/>
    </w:pPr>
  </w:style>
  <w:style w:type="character" w:customStyle="1" w:styleId="Retraitcorpsdetexte2Car">
    <w:name w:val="Retrait corps de texte 2 Car"/>
    <w:basedOn w:val="Policepardfaut"/>
    <w:link w:val="Retraitcorpsdetexte2"/>
    <w:uiPriority w:val="99"/>
    <w:rPr>
      <w:rFonts w:ascii="Times New Roman" w:eastAsia="Times New Roman" w:hAnsi="Times New Roman" w:cs="Times New Roman"/>
      <w:sz w:val="20"/>
      <w:szCs w:val="20"/>
      <w:lang w:val="fr-FR" w:eastAsia="ar-SA"/>
    </w:rPr>
  </w:style>
  <w:style w:type="paragraph" w:styleId="Titre">
    <w:name w:val="Title"/>
    <w:basedOn w:val="Normal"/>
    <w:link w:val="TitreCar1"/>
    <w:uiPriority w:val="99"/>
    <w:qFormat/>
    <w:pPr>
      <w:suppressAutoHyphens w:val="0"/>
      <w:spacing w:before="240" w:after="60"/>
      <w:jc w:val="center"/>
      <w:outlineLvl w:val="0"/>
    </w:pPr>
    <w:rPr>
      <w:rFonts w:ascii="Arial" w:hAnsi="Arial" w:cs="Arial"/>
      <w:b/>
      <w:bCs/>
      <w:kern w:val="28"/>
      <w:sz w:val="32"/>
      <w:szCs w:val="32"/>
      <w:lang w:eastAsia="fr-FR"/>
    </w:rPr>
  </w:style>
  <w:style w:type="character" w:customStyle="1" w:styleId="TitreCar1">
    <w:name w:val="Titre Car1"/>
    <w:basedOn w:val="Policepardfaut"/>
    <w:link w:val="Titre"/>
    <w:uiPriority w:val="99"/>
    <w:rPr>
      <w:rFonts w:ascii="Arial" w:eastAsia="Times New Roman" w:hAnsi="Arial" w:cs="Arial"/>
      <w:b/>
      <w:bCs/>
      <w:kern w:val="28"/>
      <w:sz w:val="32"/>
      <w:szCs w:val="32"/>
      <w:lang w:val="fr-FR" w:eastAsia="fr-FR"/>
    </w:rPr>
  </w:style>
  <w:style w:type="table" w:styleId="Grilledutableau">
    <w:name w:val="Table Grid"/>
    <w:basedOn w:val="TableauNormal"/>
    <w:uiPriority w:val="99"/>
    <w:pPr>
      <w:suppressAutoHyphens/>
      <w:spacing w:after="0" w:line="240" w:lineRule="auto"/>
    </w:pPr>
    <w:rPr>
      <w:rFonts w:ascii="Times New Roman" w:eastAsia="Times New Roman" w:hAnsi="Times New Roman"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widowControl w:val="0"/>
      <w:autoSpaceDE w:val="0"/>
      <w:autoSpaceDN w:val="0"/>
      <w:adjustRightInd w:val="0"/>
      <w:spacing w:after="0" w:line="240" w:lineRule="auto"/>
    </w:pPr>
    <w:rPr>
      <w:rFonts w:ascii="Century Schoolbook" w:eastAsia="Times New Roman" w:hAnsi="Century Schoolbook" w:cs="Century Schoolbook"/>
      <w:color w:val="000000"/>
      <w:sz w:val="24"/>
      <w:szCs w:val="24"/>
      <w:lang w:eastAsia="fr-BE"/>
    </w:rPr>
  </w:style>
  <w:style w:type="paragraph" w:customStyle="1" w:styleId="CM21">
    <w:name w:val="CM21"/>
    <w:basedOn w:val="Default"/>
    <w:next w:val="Default"/>
    <w:uiPriority w:val="99"/>
    <w:rPr>
      <w:rFonts w:cs="Times New Roman"/>
      <w:color w:val="auto"/>
    </w:rPr>
  </w:style>
  <w:style w:type="paragraph" w:customStyle="1" w:styleId="CM9">
    <w:name w:val="CM9"/>
    <w:basedOn w:val="Default"/>
    <w:next w:val="Default"/>
    <w:uiPriority w:val="99"/>
    <w:pPr>
      <w:spacing w:line="240" w:lineRule="atLeast"/>
    </w:pPr>
    <w:rPr>
      <w:rFonts w:cs="Times New Roman"/>
      <w:color w:val="auto"/>
    </w:rPr>
  </w:style>
  <w:style w:type="paragraph" w:customStyle="1" w:styleId="CM8">
    <w:name w:val="CM8"/>
    <w:basedOn w:val="Default"/>
    <w:next w:val="Default"/>
    <w:uiPriority w:val="99"/>
    <w:pPr>
      <w:spacing w:line="240" w:lineRule="atLeast"/>
    </w:pPr>
    <w:rPr>
      <w:rFonts w:cs="Times New Roman"/>
      <w:color w:val="auto"/>
    </w:rPr>
  </w:style>
  <w:style w:type="paragraph" w:customStyle="1" w:styleId="CM19">
    <w:name w:val="CM19"/>
    <w:basedOn w:val="Default"/>
    <w:next w:val="Default"/>
    <w:uiPriority w:val="99"/>
    <w:rPr>
      <w:rFonts w:cs="Times New Roman"/>
      <w:color w:val="auto"/>
    </w:rPr>
  </w:style>
  <w:style w:type="paragraph" w:customStyle="1" w:styleId="CM16">
    <w:name w:val="CM16"/>
    <w:basedOn w:val="Default"/>
    <w:next w:val="Default"/>
    <w:uiPriority w:val="99"/>
    <w:rPr>
      <w:rFonts w:cs="Times New Roman"/>
      <w:color w:val="auto"/>
    </w:rPr>
  </w:style>
  <w:style w:type="paragraph" w:customStyle="1" w:styleId="technique40">
    <w:name w:val="technique4"/>
    <w:basedOn w:val="Normal"/>
    <w:uiPriority w:val="99"/>
    <w:pPr>
      <w:suppressAutoHyphens w:val="0"/>
    </w:pPr>
    <w:rPr>
      <w:rFonts w:ascii="Courier New" w:hAnsi="Courier New" w:cs="Courier New"/>
      <w:b/>
      <w:bCs/>
      <w:sz w:val="24"/>
      <w:szCs w:val="24"/>
      <w:lang w:eastAsia="fr-FR"/>
    </w:rPr>
  </w:style>
  <w:style w:type="paragraph" w:customStyle="1" w:styleId="titre40">
    <w:name w:val="titre 4"/>
    <w:basedOn w:val="Normal"/>
    <w:uiPriority w:val="99"/>
    <w:pPr>
      <w:suppressAutoHyphens w:val="0"/>
      <w:jc w:val="both"/>
    </w:pPr>
    <w:rPr>
      <w:rFonts w:ascii="Calibri" w:hAnsi="Calibri"/>
      <w:i/>
      <w:sz w:val="24"/>
      <w:szCs w:val="24"/>
      <w:u w:val="single"/>
      <w:lang w:eastAsia="fr-FR"/>
    </w:rPr>
  </w:style>
  <w:style w:type="character" w:styleId="Lienhypertextesuivivisit">
    <w:name w:val="FollowedHyperlink"/>
    <w:basedOn w:val="Policepardfaut"/>
    <w:uiPriority w:val="99"/>
    <w:rPr>
      <w:rFonts w:cs="Times New Roman"/>
      <w:color w:val="800080"/>
      <w:u w:val="single"/>
    </w:rPr>
  </w:style>
  <w:style w:type="character" w:styleId="Marquedecommentaire">
    <w:name w:val="annotation reference"/>
    <w:basedOn w:val="Policepardfaut"/>
    <w:uiPriority w:val="99"/>
    <w:rPr>
      <w:rFonts w:cs="Times New Roman"/>
      <w:sz w:val="16"/>
      <w:szCs w:val="16"/>
    </w:rPr>
  </w:style>
  <w:style w:type="paragraph" w:styleId="Commentaire">
    <w:name w:val="annotation text"/>
    <w:basedOn w:val="Normal"/>
    <w:link w:val="CommentaireCar"/>
    <w:uiPriority w:val="99"/>
  </w:style>
  <w:style w:type="character" w:customStyle="1" w:styleId="CommentaireCar">
    <w:name w:val="Commentaire Car"/>
    <w:basedOn w:val="Policepardfaut"/>
    <w:link w:val="Commentaire"/>
    <w:uiPriority w:val="99"/>
    <w:rPr>
      <w:rFonts w:ascii="Times New Roman" w:eastAsia="Times New Roman" w:hAnsi="Times New Roman" w:cs="Times New Roman"/>
      <w:sz w:val="20"/>
      <w:szCs w:val="20"/>
      <w:lang w:val="fr-FR" w:eastAsia="ar-SA"/>
    </w:rPr>
  </w:style>
  <w:style w:type="paragraph" w:styleId="Objetducommentaire">
    <w:name w:val="annotation subject"/>
    <w:basedOn w:val="Commentaire"/>
    <w:next w:val="Commentaire"/>
    <w:link w:val="ObjetducommentaireCar"/>
    <w:uiPriority w:val="99"/>
    <w:rPr>
      <w:b/>
      <w:bCs/>
    </w:rPr>
  </w:style>
  <w:style w:type="character" w:customStyle="1" w:styleId="ObjetducommentaireCar">
    <w:name w:val="Objet du commentaire Car"/>
    <w:basedOn w:val="CommentaireCar"/>
    <w:link w:val="Objetducommentaire"/>
    <w:uiPriority w:val="99"/>
    <w:rPr>
      <w:rFonts w:ascii="Times New Roman" w:eastAsia="Times New Roman" w:hAnsi="Times New Roman" w:cs="Times New Roman"/>
      <w:b/>
      <w:bCs/>
      <w:sz w:val="20"/>
      <w:szCs w:val="20"/>
      <w:lang w:val="fr-FR" w:eastAsia="ar-SA"/>
    </w:rPr>
  </w:style>
  <w:style w:type="character" w:customStyle="1" w:styleId="WW8Num69z0">
    <w:name w:val="WW8Num69z0"/>
    <w:uiPriority w:val="99"/>
    <w:rPr>
      <w:rFonts w:ascii="Times New Roman" w:hAnsi="Times New Roman"/>
    </w:rPr>
  </w:style>
  <w:style w:type="paragraph" w:styleId="Paragraphedeliste">
    <w:name w:val="List Paragraph"/>
    <w:basedOn w:val="Normal"/>
    <w:link w:val="ParagraphedelisteCar"/>
    <w:uiPriority w:val="34"/>
    <w:qFormat/>
    <w:pPr>
      <w:ind w:left="720"/>
      <w:contextualSpacing/>
    </w:pPr>
  </w:style>
  <w:style w:type="character" w:customStyle="1" w:styleId="NotedebasdepageCar1">
    <w:name w:val="Note de bas de page Car1"/>
    <w:basedOn w:val="Policepardfaut"/>
    <w:locked/>
    <w:rPr>
      <w:rFonts w:ascii="Courier New" w:hAnsi="Courier New" w:cs="Courier New"/>
      <w:sz w:val="20"/>
      <w:szCs w:val="20"/>
      <w:lang w:eastAsia="ar-SA"/>
    </w:rPr>
  </w:style>
  <w:style w:type="paragraph" w:styleId="Notedefin">
    <w:name w:val="endnote text"/>
    <w:basedOn w:val="Normal"/>
    <w:link w:val="NotedefinCar"/>
    <w:uiPriority w:val="99"/>
    <w:semiHidden/>
    <w:unhideWhenUsed/>
  </w:style>
  <w:style w:type="character" w:customStyle="1" w:styleId="NotedefinCar">
    <w:name w:val="Note de fin Car"/>
    <w:basedOn w:val="Policepardfaut"/>
    <w:link w:val="Notedefin"/>
    <w:uiPriority w:val="99"/>
    <w:semiHidden/>
    <w:rPr>
      <w:rFonts w:ascii="Times New Roman" w:eastAsia="Times New Roman" w:hAnsi="Times New Roman" w:cs="Times New Roman"/>
      <w:sz w:val="20"/>
      <w:szCs w:val="20"/>
      <w:lang w:val="fr-FR" w:eastAsia="ar-SA"/>
    </w:rPr>
  </w:style>
  <w:style w:type="paragraph" w:styleId="Rvision">
    <w:name w:val="Revision"/>
    <w:hidden/>
    <w:uiPriority w:val="99"/>
    <w:semiHidden/>
    <w:pPr>
      <w:spacing w:after="0" w:line="240" w:lineRule="auto"/>
    </w:pPr>
    <w:rPr>
      <w:rFonts w:ascii="Times New Roman" w:eastAsia="Times New Roman" w:hAnsi="Times New Roman" w:cs="Times New Roman"/>
      <w:sz w:val="20"/>
      <w:szCs w:val="20"/>
      <w:lang w:val="fr-FR" w:eastAsia="ar-SA"/>
    </w:rPr>
  </w:style>
  <w:style w:type="paragraph" w:customStyle="1" w:styleId="CircDirN2">
    <w:name w:val="CircDirN2"/>
    <w:basedOn w:val="Titre2"/>
    <w:next w:val="Normal"/>
    <w:pPr>
      <w:tabs>
        <w:tab w:val="clear" w:pos="576"/>
        <w:tab w:val="num" w:pos="360"/>
      </w:tabs>
      <w:suppressAutoHyphens w:val="0"/>
      <w:spacing w:before="240" w:after="240"/>
      <w:ind w:left="0" w:firstLine="0"/>
    </w:pPr>
    <w:rPr>
      <w:rFonts w:ascii="Arial Narrow" w:hAnsi="Arial Narrow" w:cs="Arial"/>
      <w:b/>
      <w:bCs/>
      <w:iCs/>
      <w:sz w:val="40"/>
      <w:szCs w:val="28"/>
      <w:u w:val="none"/>
      <w:lang w:val="fr-BE"/>
    </w:rPr>
  </w:style>
  <w:style w:type="paragraph" w:customStyle="1" w:styleId="CircDirN3">
    <w:name w:val="CircDirN3"/>
    <w:pPr>
      <w:tabs>
        <w:tab w:val="num" w:pos="568"/>
      </w:tabs>
      <w:spacing w:before="240" w:after="120" w:line="240" w:lineRule="auto"/>
      <w:ind w:left="568"/>
    </w:pPr>
    <w:rPr>
      <w:rFonts w:ascii="Arial Narrow" w:eastAsia="Times New Roman" w:hAnsi="Arial Narrow" w:cs="Arial"/>
      <w:b/>
      <w:bCs/>
      <w:sz w:val="32"/>
      <w:szCs w:val="32"/>
      <w:lang w:eastAsia="ar-SA"/>
    </w:rPr>
  </w:style>
  <w:style w:type="paragraph" w:customStyle="1" w:styleId="CircDirN4">
    <w:name w:val="CircDirN4"/>
    <w:basedOn w:val="Titre4"/>
    <w:next w:val="Normal"/>
    <w:autoRedefine/>
    <w:pPr>
      <w:tabs>
        <w:tab w:val="clear" w:pos="864"/>
        <w:tab w:val="num" w:pos="360"/>
      </w:tabs>
      <w:spacing w:before="240" w:after="240"/>
      <w:ind w:left="0" w:firstLine="0"/>
      <w:jc w:val="both"/>
      <w:outlineLvl w:val="2"/>
    </w:pPr>
    <w:rPr>
      <w:rFonts w:ascii="Arial Narrow" w:hAnsi="Arial Narrow"/>
      <w:bCs w:val="0"/>
      <w:sz w:val="28"/>
      <w:szCs w:val="20"/>
    </w:rPr>
  </w:style>
  <w:style w:type="paragraph" w:customStyle="1" w:styleId="CircDirN5">
    <w:name w:val="CircDirN5"/>
    <w:basedOn w:val="Titre5"/>
    <w:next w:val="Normal"/>
    <w:pPr>
      <w:keepNext w:val="0"/>
      <w:tabs>
        <w:tab w:val="clear" w:pos="1008"/>
        <w:tab w:val="num" w:pos="360"/>
      </w:tabs>
      <w:suppressAutoHyphens w:val="0"/>
      <w:spacing w:before="240" w:after="60"/>
      <w:ind w:left="0" w:firstLine="0"/>
    </w:pPr>
    <w:rPr>
      <w:rFonts w:ascii="Arial Narrow" w:hAnsi="Arial Narrow"/>
      <w:iCs/>
      <w:sz w:val="24"/>
      <w:szCs w:val="26"/>
      <w:u w:val="none"/>
    </w:rPr>
  </w:style>
  <w:style w:type="paragraph" w:customStyle="1" w:styleId="CircDirN6">
    <w:name w:val="CircDirN6"/>
    <w:basedOn w:val="Titre6"/>
    <w:next w:val="Normal"/>
    <w:pPr>
      <w:keepNext w:val="0"/>
      <w:tabs>
        <w:tab w:val="clear" w:pos="567"/>
        <w:tab w:val="clear" w:pos="1134"/>
        <w:tab w:val="clear" w:pos="9026"/>
        <w:tab w:val="num" w:pos="360"/>
      </w:tabs>
      <w:suppressAutoHyphens w:val="0"/>
      <w:spacing w:before="240" w:after="60"/>
      <w:ind w:left="0" w:right="0" w:firstLine="0"/>
      <w:jc w:val="left"/>
    </w:pPr>
    <w:rPr>
      <w:rFonts w:ascii="Arial Narrow" w:hAnsi="Arial Narrow"/>
      <w:bCs/>
      <w:i/>
      <w:spacing w:val="0"/>
      <w:sz w:val="24"/>
      <w:szCs w:val="22"/>
      <w:lang w:val="fr-BE"/>
    </w:rPr>
  </w:style>
  <w:style w:type="paragraph" w:customStyle="1" w:styleId="Sansinterligne1">
    <w:name w:val="Sans interligne1"/>
    <w:pPr>
      <w:suppressAutoHyphens/>
      <w:spacing w:after="0" w:line="240" w:lineRule="auto"/>
    </w:pPr>
    <w:rPr>
      <w:rFonts w:ascii="Calibri" w:eastAsia="Arial" w:hAnsi="Calibri" w:cs="Times New Roman"/>
      <w:lang w:val="fr-FR" w:eastAsia="ar-SA"/>
    </w:rPr>
  </w:style>
  <w:style w:type="character" w:customStyle="1" w:styleId="Corpsdutexte">
    <w:name w:val="Corps du texte_"/>
    <w:link w:val="Corpsdutexte0"/>
    <w:locked/>
    <w:rPr>
      <w:shd w:val="clear" w:color="auto" w:fill="FFFFFF"/>
    </w:rPr>
  </w:style>
  <w:style w:type="paragraph" w:customStyle="1" w:styleId="Corpsdutexte0">
    <w:name w:val="Corps du texte"/>
    <w:basedOn w:val="Normal"/>
    <w:link w:val="Corpsdutexte"/>
    <w:pPr>
      <w:widowControl w:val="0"/>
      <w:shd w:val="clear" w:color="auto" w:fill="FFFFFF"/>
      <w:suppressAutoHyphens w:val="0"/>
      <w:spacing w:line="234" w:lineRule="exact"/>
      <w:ind w:hanging="2120"/>
    </w:pPr>
    <w:rPr>
      <w:rFonts w:asciiTheme="minorHAnsi" w:eastAsiaTheme="minorHAnsi" w:hAnsiTheme="minorHAnsi" w:cstheme="minorBidi"/>
      <w:sz w:val="22"/>
      <w:szCs w:val="22"/>
      <w:lang w:val="fr-BE" w:eastAsia="en-US"/>
    </w:rPr>
  </w:style>
  <w:style w:type="character" w:customStyle="1" w:styleId="ParagraphedelisteCar">
    <w:name w:val="Paragraphe de liste Car"/>
    <w:link w:val="Paragraphedeliste"/>
    <w:uiPriority w:val="34"/>
    <w:rPr>
      <w:rFonts w:ascii="Times New Roman" w:eastAsia="Times New Roman" w:hAnsi="Times New Roman" w:cs="Times New Roman"/>
      <w:sz w:val="20"/>
      <w:szCs w:val="20"/>
      <w:lang w:val="fr-FR"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25507">
      <w:bodyDiv w:val="1"/>
      <w:marLeft w:val="0"/>
      <w:marRight w:val="0"/>
      <w:marTop w:val="0"/>
      <w:marBottom w:val="0"/>
      <w:divBdr>
        <w:top w:val="none" w:sz="0" w:space="0" w:color="auto"/>
        <w:left w:val="none" w:sz="0" w:space="0" w:color="auto"/>
        <w:bottom w:val="none" w:sz="0" w:space="0" w:color="auto"/>
        <w:right w:val="none" w:sz="0" w:space="0" w:color="auto"/>
      </w:divBdr>
    </w:div>
    <w:div w:id="354888869">
      <w:bodyDiv w:val="1"/>
      <w:marLeft w:val="0"/>
      <w:marRight w:val="0"/>
      <w:marTop w:val="0"/>
      <w:marBottom w:val="0"/>
      <w:divBdr>
        <w:top w:val="none" w:sz="0" w:space="0" w:color="auto"/>
        <w:left w:val="none" w:sz="0" w:space="0" w:color="auto"/>
        <w:bottom w:val="none" w:sz="0" w:space="0" w:color="auto"/>
        <w:right w:val="none" w:sz="0" w:space="0" w:color="auto"/>
      </w:divBdr>
    </w:div>
    <w:div w:id="468015853">
      <w:bodyDiv w:val="1"/>
      <w:marLeft w:val="0"/>
      <w:marRight w:val="0"/>
      <w:marTop w:val="0"/>
      <w:marBottom w:val="0"/>
      <w:divBdr>
        <w:top w:val="none" w:sz="0" w:space="0" w:color="auto"/>
        <w:left w:val="none" w:sz="0" w:space="0" w:color="auto"/>
        <w:bottom w:val="none" w:sz="0" w:space="0" w:color="auto"/>
        <w:right w:val="none" w:sz="0" w:space="0" w:color="auto"/>
      </w:divBdr>
    </w:div>
    <w:div w:id="990911795">
      <w:bodyDiv w:val="1"/>
      <w:marLeft w:val="0"/>
      <w:marRight w:val="0"/>
      <w:marTop w:val="0"/>
      <w:marBottom w:val="0"/>
      <w:divBdr>
        <w:top w:val="none" w:sz="0" w:space="0" w:color="auto"/>
        <w:left w:val="none" w:sz="0" w:space="0" w:color="auto"/>
        <w:bottom w:val="none" w:sz="0" w:space="0" w:color="auto"/>
        <w:right w:val="none" w:sz="0" w:space="0" w:color="auto"/>
      </w:divBdr>
      <w:divsChild>
        <w:div w:id="1624535100">
          <w:marLeft w:val="0"/>
          <w:marRight w:val="0"/>
          <w:marTop w:val="0"/>
          <w:marBottom w:val="0"/>
          <w:divBdr>
            <w:top w:val="none" w:sz="0" w:space="0" w:color="auto"/>
            <w:left w:val="none" w:sz="0" w:space="0" w:color="auto"/>
            <w:bottom w:val="none" w:sz="0" w:space="0" w:color="auto"/>
            <w:right w:val="none" w:sz="0" w:space="0" w:color="auto"/>
          </w:divBdr>
        </w:div>
        <w:div w:id="1235310276">
          <w:marLeft w:val="0"/>
          <w:marRight w:val="0"/>
          <w:marTop w:val="0"/>
          <w:marBottom w:val="0"/>
          <w:divBdr>
            <w:top w:val="none" w:sz="0" w:space="0" w:color="auto"/>
            <w:left w:val="none" w:sz="0" w:space="0" w:color="auto"/>
            <w:bottom w:val="none" w:sz="0" w:space="0" w:color="auto"/>
            <w:right w:val="none" w:sz="0" w:space="0" w:color="auto"/>
          </w:divBdr>
        </w:div>
        <w:div w:id="1129592485">
          <w:marLeft w:val="0"/>
          <w:marRight w:val="0"/>
          <w:marTop w:val="0"/>
          <w:marBottom w:val="0"/>
          <w:divBdr>
            <w:top w:val="none" w:sz="0" w:space="0" w:color="auto"/>
            <w:left w:val="none" w:sz="0" w:space="0" w:color="auto"/>
            <w:bottom w:val="none" w:sz="0" w:space="0" w:color="auto"/>
            <w:right w:val="none" w:sz="0" w:space="0" w:color="auto"/>
          </w:divBdr>
        </w:div>
        <w:div w:id="1908612454">
          <w:marLeft w:val="0"/>
          <w:marRight w:val="0"/>
          <w:marTop w:val="0"/>
          <w:marBottom w:val="0"/>
          <w:divBdr>
            <w:top w:val="none" w:sz="0" w:space="0" w:color="auto"/>
            <w:left w:val="none" w:sz="0" w:space="0" w:color="auto"/>
            <w:bottom w:val="none" w:sz="0" w:space="0" w:color="auto"/>
            <w:right w:val="none" w:sz="0" w:space="0" w:color="auto"/>
          </w:divBdr>
        </w:div>
        <w:div w:id="1800879656">
          <w:marLeft w:val="0"/>
          <w:marRight w:val="0"/>
          <w:marTop w:val="0"/>
          <w:marBottom w:val="0"/>
          <w:divBdr>
            <w:top w:val="none" w:sz="0" w:space="0" w:color="auto"/>
            <w:left w:val="none" w:sz="0" w:space="0" w:color="auto"/>
            <w:bottom w:val="none" w:sz="0" w:space="0" w:color="auto"/>
            <w:right w:val="none" w:sz="0" w:space="0" w:color="auto"/>
          </w:divBdr>
        </w:div>
        <w:div w:id="614019092">
          <w:marLeft w:val="0"/>
          <w:marRight w:val="0"/>
          <w:marTop w:val="0"/>
          <w:marBottom w:val="0"/>
          <w:divBdr>
            <w:top w:val="none" w:sz="0" w:space="0" w:color="auto"/>
            <w:left w:val="none" w:sz="0" w:space="0" w:color="auto"/>
            <w:bottom w:val="none" w:sz="0" w:space="0" w:color="auto"/>
            <w:right w:val="none" w:sz="0" w:space="0" w:color="auto"/>
          </w:divBdr>
        </w:div>
        <w:div w:id="211696794">
          <w:marLeft w:val="0"/>
          <w:marRight w:val="0"/>
          <w:marTop w:val="0"/>
          <w:marBottom w:val="0"/>
          <w:divBdr>
            <w:top w:val="none" w:sz="0" w:space="0" w:color="auto"/>
            <w:left w:val="none" w:sz="0" w:space="0" w:color="auto"/>
            <w:bottom w:val="none" w:sz="0" w:space="0" w:color="auto"/>
            <w:right w:val="none" w:sz="0" w:space="0" w:color="auto"/>
          </w:divBdr>
        </w:div>
        <w:div w:id="22247053">
          <w:marLeft w:val="0"/>
          <w:marRight w:val="0"/>
          <w:marTop w:val="0"/>
          <w:marBottom w:val="0"/>
          <w:divBdr>
            <w:top w:val="none" w:sz="0" w:space="0" w:color="auto"/>
            <w:left w:val="none" w:sz="0" w:space="0" w:color="auto"/>
            <w:bottom w:val="none" w:sz="0" w:space="0" w:color="auto"/>
            <w:right w:val="none" w:sz="0" w:space="0" w:color="auto"/>
          </w:divBdr>
        </w:div>
      </w:divsChild>
    </w:div>
    <w:div w:id="1056854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ylvain.dubucq@cfwb.be" TargetMode="External"/><Relationship Id="rId18" Type="http://schemas.openxmlformats.org/officeDocument/2006/relationships/footer" Target="footer1.xml"/><Relationship Id="rId26" Type="http://schemas.openxmlformats.org/officeDocument/2006/relationships/header" Target="header5.xml"/><Relationship Id="rId39" Type="http://schemas.openxmlformats.org/officeDocument/2006/relationships/footer" Target="footer14.xml"/><Relationship Id="rId21" Type="http://schemas.openxmlformats.org/officeDocument/2006/relationships/footer" Target="footer3.xml"/><Relationship Id="rId34" Type="http://schemas.openxmlformats.org/officeDocument/2006/relationships/header" Target="header8.xml"/><Relationship Id="rId42" Type="http://schemas.openxmlformats.org/officeDocument/2006/relationships/image" Target="media/image3.emf"/><Relationship Id="rId47" Type="http://schemas.openxmlformats.org/officeDocument/2006/relationships/footer" Target="footer19.xml"/><Relationship Id="rId50" Type="http://schemas.openxmlformats.org/officeDocument/2006/relationships/footer" Target="footer20.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michel.dury@cfwb.be" TargetMode="External"/><Relationship Id="rId17" Type="http://schemas.openxmlformats.org/officeDocument/2006/relationships/header" Target="header2.xml"/><Relationship Id="rId25" Type="http://schemas.openxmlformats.org/officeDocument/2006/relationships/header" Target="header4.xml"/><Relationship Id="rId33" Type="http://schemas.openxmlformats.org/officeDocument/2006/relationships/header" Target="header7.xml"/><Relationship Id="rId38" Type="http://schemas.openxmlformats.org/officeDocument/2006/relationships/footer" Target="footer13.xml"/><Relationship Id="rId46" Type="http://schemas.openxmlformats.org/officeDocument/2006/relationships/footer" Target="footer1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header" Target="header6.xml"/><Relationship Id="rId41" Type="http://schemas.openxmlformats.org/officeDocument/2006/relationships/footer" Target="footer16.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iguel.magerat@cfwb.be" TargetMode="External"/><Relationship Id="rId24" Type="http://schemas.openxmlformats.org/officeDocument/2006/relationships/hyperlink" Target="https://www.enseignement.cfwb.be/DEROGATION_WEB/sanctions_etudes" TargetMode="External"/><Relationship Id="rId32" Type="http://schemas.openxmlformats.org/officeDocument/2006/relationships/footer" Target="footer10.xml"/><Relationship Id="rId37" Type="http://schemas.openxmlformats.org/officeDocument/2006/relationships/header" Target="header9.xml"/><Relationship Id="rId40" Type="http://schemas.openxmlformats.org/officeDocument/2006/relationships/footer" Target="footer15.xml"/><Relationship Id="rId45" Type="http://schemas.openxmlformats.org/officeDocument/2006/relationships/footer" Target="footer17.xml"/><Relationship Id="rId53" Type="http://schemas.openxmlformats.org/officeDocument/2006/relationships/footer" Target="footer22.xml"/><Relationship Id="rId5" Type="http://schemas.openxmlformats.org/officeDocument/2006/relationships/webSettings" Target="webSettings.xml"/><Relationship Id="rId15" Type="http://schemas.openxmlformats.org/officeDocument/2006/relationships/hyperlink" Target="mailto:romain.cornet@cfwb.be" TargetMode="Externa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footer" Target="footer12.xml"/><Relationship Id="rId49" Type="http://schemas.openxmlformats.org/officeDocument/2006/relationships/header" Target="header12.xml"/><Relationship Id="rId10" Type="http://schemas.openxmlformats.org/officeDocument/2006/relationships/hyperlink" Target="mailto:christiane.konen@cfwb.be" TargetMode="External"/><Relationship Id="rId19" Type="http://schemas.openxmlformats.org/officeDocument/2006/relationships/footer" Target="footer2.xml"/><Relationship Id="rId31" Type="http://schemas.openxmlformats.org/officeDocument/2006/relationships/footer" Target="footer9.xml"/><Relationship Id="rId44" Type="http://schemas.openxmlformats.org/officeDocument/2006/relationships/header" Target="header10.xml"/><Relationship Id="rId52" Type="http://schemas.openxmlformats.org/officeDocument/2006/relationships/header" Target="header1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pauline.vanhulle@cfwb.be" TargetMode="External"/><Relationship Id="rId22" Type="http://schemas.openxmlformats.org/officeDocument/2006/relationships/footer" Target="footer4.xml"/><Relationship Id="rId27" Type="http://schemas.openxmlformats.org/officeDocument/2006/relationships/footer" Target="footer6.xml"/><Relationship Id="rId30" Type="http://schemas.openxmlformats.org/officeDocument/2006/relationships/footer" Target="footer8.xml"/><Relationship Id="rId35" Type="http://schemas.openxmlformats.org/officeDocument/2006/relationships/footer" Target="footer11.xml"/><Relationship Id="rId43" Type="http://schemas.openxmlformats.org/officeDocument/2006/relationships/oleObject" Target="embeddings/Feuille_Microsoft_Excel_97-20031.xls"/><Relationship Id="rId48" Type="http://schemas.openxmlformats.org/officeDocument/2006/relationships/header" Target="header11.xml"/><Relationship Id="rId8" Type="http://schemas.openxmlformats.org/officeDocument/2006/relationships/image" Target="media/image1.jpeg"/><Relationship Id="rId51" Type="http://schemas.openxmlformats.org/officeDocument/2006/relationships/footer" Target="footer21.xml"/><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F0E769-6D00-46D2-AFCF-2FFABADAB1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114</Pages>
  <Words>33873</Words>
  <Characters>186304</Characters>
  <Application>Microsoft Office Word</Application>
  <DocSecurity>0</DocSecurity>
  <Lines>1552</Lines>
  <Paragraphs>439</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219738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ETNIC</dc:creator>
  <cp:lastModifiedBy>DRIESEN Olivier</cp:lastModifiedBy>
  <cp:revision>3</cp:revision>
  <cp:lastPrinted>2018-08-29T08:55:00Z</cp:lastPrinted>
  <dcterms:created xsi:type="dcterms:W3CDTF">2018-08-29T08:55:00Z</dcterms:created>
  <dcterms:modified xsi:type="dcterms:W3CDTF">2018-08-29T08:56:00Z</dcterms:modified>
</cp:coreProperties>
</file>